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4690F" w:rsidRPr="00D87712" w:rsidRDefault="00D87712" w:rsidP="00D55D8C">
      <w:pPr>
        <w:pStyle w:val="VPUeberschrift1JMF"/>
      </w:pPr>
      <w:r w:rsidRPr="00D87712">
        <w:t>Verlaufsplan und Erwartungshorizont</w:t>
      </w:r>
    </w:p>
    <w:tbl>
      <w:tblPr>
        <w:tblStyle w:val="Tabellenraster"/>
        <w:tblW w:w="9180" w:type="dxa"/>
        <w:tblLook w:val="04A0" w:firstRow="1" w:lastRow="0" w:firstColumn="1" w:lastColumn="0" w:noHBand="0" w:noVBand="1"/>
      </w:tblPr>
      <w:tblGrid>
        <w:gridCol w:w="2036"/>
        <w:gridCol w:w="3776"/>
        <w:gridCol w:w="1587"/>
        <w:gridCol w:w="1781"/>
      </w:tblGrid>
      <w:tr w:rsidR="00CA0285" w:rsidRPr="00416C49" w:rsidTr="00E64F89">
        <w:trPr>
          <w:tblHeader/>
        </w:trPr>
        <w:tc>
          <w:tcPr>
            <w:tcW w:w="2038" w:type="dxa"/>
            <w:tcBorders>
              <w:top w:val="nil"/>
              <w:left w:val="nil"/>
              <w:bottom w:val="single" w:sz="2" w:space="0" w:color="auto"/>
              <w:right w:val="single" w:sz="2" w:space="0" w:color="auto"/>
            </w:tcBorders>
            <w:shd w:val="clear" w:color="auto" w:fill="FFFFFF" w:themeFill="background1"/>
            <w:vAlign w:val="center"/>
          </w:tcPr>
          <w:p w:rsidR="00CA0285" w:rsidRPr="00416C49" w:rsidRDefault="00CA0285" w:rsidP="00416C49">
            <w:pPr>
              <w:pStyle w:val="VPFlietextJMF"/>
              <w:rPr>
                <w:lang w:val="en-GB"/>
              </w:rPr>
            </w:pPr>
            <w:r>
              <w:rPr>
                <w:lang w:val="en-GB"/>
              </w:rPr>
              <w:t>Arbeitsphase</w:t>
            </w:r>
          </w:p>
        </w:tc>
        <w:tc>
          <w:tcPr>
            <w:tcW w:w="3787" w:type="dxa"/>
            <w:tcBorders>
              <w:top w:val="nil"/>
              <w:left w:val="single" w:sz="2" w:space="0" w:color="auto"/>
              <w:bottom w:val="single" w:sz="2" w:space="0" w:color="auto"/>
              <w:right w:val="single" w:sz="2" w:space="0" w:color="auto"/>
            </w:tcBorders>
            <w:shd w:val="clear" w:color="auto" w:fill="FFFFFF" w:themeFill="background1"/>
            <w:vAlign w:val="center"/>
          </w:tcPr>
          <w:p w:rsidR="00CA0285" w:rsidRPr="00416C49" w:rsidRDefault="00CA0285" w:rsidP="00416C49">
            <w:pPr>
              <w:pStyle w:val="VPFlietextJMF"/>
            </w:pPr>
            <w:r>
              <w:t>Inhalt</w:t>
            </w:r>
          </w:p>
        </w:tc>
        <w:tc>
          <w:tcPr>
            <w:tcW w:w="1574" w:type="dxa"/>
            <w:tcBorders>
              <w:top w:val="nil"/>
              <w:left w:val="single" w:sz="2" w:space="0" w:color="auto"/>
              <w:bottom w:val="single" w:sz="2" w:space="0" w:color="auto"/>
              <w:right w:val="single" w:sz="2" w:space="0" w:color="auto"/>
            </w:tcBorders>
            <w:shd w:val="clear" w:color="auto" w:fill="FFFFFF" w:themeFill="background1"/>
            <w:vAlign w:val="center"/>
          </w:tcPr>
          <w:p w:rsidR="00CA0285" w:rsidRPr="00416C49" w:rsidRDefault="00CA0285" w:rsidP="00416C49">
            <w:pPr>
              <w:pStyle w:val="VPFlietextJMF"/>
            </w:pPr>
            <w:r>
              <w:t>Sozialform</w:t>
            </w:r>
          </w:p>
        </w:tc>
        <w:tc>
          <w:tcPr>
            <w:tcW w:w="1781" w:type="dxa"/>
            <w:tcBorders>
              <w:top w:val="nil"/>
              <w:left w:val="single" w:sz="2" w:space="0" w:color="auto"/>
              <w:bottom w:val="single" w:sz="2" w:space="0" w:color="auto"/>
              <w:right w:val="nil"/>
            </w:tcBorders>
            <w:shd w:val="clear" w:color="auto" w:fill="FFFFFF" w:themeFill="background1"/>
            <w:vAlign w:val="center"/>
          </w:tcPr>
          <w:p w:rsidR="00CA0285" w:rsidRPr="00416C49" w:rsidRDefault="00CA0285" w:rsidP="00416C49">
            <w:pPr>
              <w:pStyle w:val="VPFlietextJMF"/>
            </w:pPr>
            <w:r>
              <w:t>Medien/Material</w:t>
            </w:r>
          </w:p>
        </w:tc>
      </w:tr>
      <w:tr w:rsidR="00CA0285" w:rsidRPr="00416C49" w:rsidTr="00E64F89">
        <w:tc>
          <w:tcPr>
            <w:tcW w:w="2038" w:type="dxa"/>
            <w:tcBorders>
              <w:top w:val="single" w:sz="2" w:space="0" w:color="auto"/>
              <w:left w:val="nil"/>
              <w:bottom w:val="single" w:sz="4" w:space="0" w:color="auto"/>
              <w:right w:val="single" w:sz="18" w:space="0" w:color="auto"/>
            </w:tcBorders>
            <w:shd w:val="clear" w:color="auto" w:fill="FFFFFF" w:themeFill="background1"/>
          </w:tcPr>
          <w:p w:rsidR="00B43E9B" w:rsidRDefault="00B43E9B" w:rsidP="00B43E9B">
            <w:pPr>
              <w:pStyle w:val="VPTabelleInhaltJMF"/>
            </w:pPr>
            <w:r>
              <w:t>Einstieg, Bildimpulse</w:t>
            </w:r>
          </w:p>
          <w:p w:rsidR="00CA0285" w:rsidRPr="00416C49" w:rsidRDefault="00B43E9B" w:rsidP="00B43E9B">
            <w:pPr>
              <w:pStyle w:val="VPTabelleInhaltJMF"/>
            </w:pPr>
            <w:r>
              <w:t>(5 Min.)</w:t>
            </w:r>
          </w:p>
        </w:tc>
        <w:tc>
          <w:tcPr>
            <w:tcW w:w="3787" w:type="dxa"/>
            <w:tcBorders>
              <w:top w:val="single" w:sz="2" w:space="0" w:color="auto"/>
              <w:left w:val="single" w:sz="18" w:space="0" w:color="auto"/>
              <w:bottom w:val="single" w:sz="2" w:space="0" w:color="auto"/>
              <w:right w:val="single" w:sz="18" w:space="0" w:color="auto"/>
            </w:tcBorders>
            <w:shd w:val="clear" w:color="auto" w:fill="FFFFFF" w:themeFill="background1"/>
          </w:tcPr>
          <w:p w:rsidR="00B43E9B" w:rsidRDefault="00B43E9B" w:rsidP="00B43E9B">
            <w:pPr>
              <w:pStyle w:val="VPTabelleInhaltJMF"/>
            </w:pPr>
            <w:r>
              <w:t xml:space="preserve">Arbeitsauftrag: </w:t>
            </w:r>
          </w:p>
          <w:p w:rsidR="00B43E9B" w:rsidRDefault="00B43E9B" w:rsidP="00B43E9B">
            <w:pPr>
              <w:pStyle w:val="VPTabelleInhaltJMF"/>
            </w:pPr>
            <w:r>
              <w:t>(Was ist auf den beiden Fotos zu erkennen?) Stellt Vermutungen an, weshalb es zu einem Konflikt kam und welche Akteur*innen an ihm beteiligt waren.</w:t>
            </w:r>
          </w:p>
          <w:p w:rsidR="00CA0285" w:rsidRPr="00416C49" w:rsidRDefault="00B43E9B" w:rsidP="00B43E9B">
            <w:pPr>
              <w:pStyle w:val="VPTabelleInhaltJMF"/>
            </w:pPr>
            <w:r>
              <w:t>Auswertung im Plenum und Hypothesen schriftlich festhalten.</w:t>
            </w:r>
          </w:p>
        </w:tc>
        <w:tc>
          <w:tcPr>
            <w:tcW w:w="1574" w:type="dxa"/>
            <w:tcBorders>
              <w:top w:val="single" w:sz="2" w:space="0" w:color="auto"/>
              <w:left w:val="single" w:sz="18" w:space="0" w:color="auto"/>
              <w:right w:val="single" w:sz="18" w:space="0" w:color="auto"/>
            </w:tcBorders>
            <w:shd w:val="clear" w:color="auto" w:fill="FFFFFF" w:themeFill="background1"/>
          </w:tcPr>
          <w:p w:rsidR="00CA0285" w:rsidRPr="00416C49" w:rsidRDefault="00B43E9B" w:rsidP="00416C49">
            <w:pPr>
              <w:pStyle w:val="VPTabelleInhaltJMF"/>
            </w:pPr>
            <w:r w:rsidRPr="00B43E9B">
              <w:t>Think – Pair – Share</w:t>
            </w:r>
          </w:p>
        </w:tc>
        <w:tc>
          <w:tcPr>
            <w:tcW w:w="1781" w:type="dxa"/>
            <w:tcBorders>
              <w:top w:val="single" w:sz="2" w:space="0" w:color="auto"/>
              <w:left w:val="single" w:sz="18" w:space="0" w:color="auto"/>
              <w:bottom w:val="single" w:sz="2" w:space="0" w:color="auto"/>
              <w:right w:val="nil"/>
            </w:tcBorders>
            <w:shd w:val="clear" w:color="auto" w:fill="FFFFFF" w:themeFill="background1"/>
          </w:tcPr>
          <w:p w:rsidR="00CA0285" w:rsidRPr="00416C49" w:rsidRDefault="00B43E9B" w:rsidP="00416C49">
            <w:pPr>
              <w:pStyle w:val="VPTabelleInhaltJMF"/>
              <w:rPr>
                <w:bCs/>
              </w:rPr>
            </w:pPr>
            <w:r w:rsidRPr="00B43E9B">
              <w:rPr>
                <w:bCs/>
              </w:rPr>
              <w:t>PPP, Folien 19, 21</w:t>
            </w:r>
          </w:p>
        </w:tc>
      </w:tr>
      <w:tr w:rsidR="00CA0285" w:rsidRPr="00416C49" w:rsidTr="006703FF">
        <w:tc>
          <w:tcPr>
            <w:tcW w:w="2038" w:type="dxa"/>
            <w:tcBorders>
              <w:top w:val="single" w:sz="4" w:space="0" w:color="auto"/>
              <w:left w:val="nil"/>
              <w:bottom w:val="single" w:sz="4" w:space="0" w:color="auto"/>
              <w:right w:val="single" w:sz="18" w:space="0" w:color="auto"/>
            </w:tcBorders>
            <w:shd w:val="clear" w:color="auto" w:fill="FFFFFF" w:themeFill="background1"/>
          </w:tcPr>
          <w:p w:rsidR="00B43E9B" w:rsidRDefault="00B43E9B" w:rsidP="00B43E9B">
            <w:pPr>
              <w:pStyle w:val="VPTabelleInhaltJMF"/>
            </w:pPr>
            <w:r>
              <w:t>Gruppenpuzzle Phase 1</w:t>
            </w:r>
          </w:p>
          <w:p w:rsidR="00B43E9B" w:rsidRDefault="00B43E9B" w:rsidP="00B43E9B">
            <w:pPr>
              <w:pStyle w:val="VPTabelleInhaltJMF"/>
            </w:pPr>
            <w:r>
              <w:t>Wer war beteiligt? Worum ging es?</w:t>
            </w:r>
          </w:p>
          <w:p w:rsidR="00B43E9B" w:rsidRDefault="00B43E9B" w:rsidP="00B43E9B">
            <w:pPr>
              <w:pStyle w:val="VPTabelleInhaltJMF"/>
            </w:pPr>
            <w:r>
              <w:t>Quellenarbeit</w:t>
            </w:r>
          </w:p>
          <w:p w:rsidR="00B43E9B" w:rsidRDefault="00B43E9B" w:rsidP="00B43E9B">
            <w:pPr>
              <w:pStyle w:val="VPTabelleInhaltJMF"/>
            </w:pPr>
          </w:p>
          <w:p w:rsidR="00CA0285" w:rsidRPr="00416C49" w:rsidRDefault="00B43E9B" w:rsidP="00B43E9B">
            <w:pPr>
              <w:pStyle w:val="VPTabelleInhaltJMF"/>
            </w:pPr>
            <w:r>
              <w:t>(20 Min.)</w:t>
            </w:r>
          </w:p>
        </w:tc>
        <w:tc>
          <w:tcPr>
            <w:tcW w:w="3787" w:type="dxa"/>
            <w:tcBorders>
              <w:top w:val="single" w:sz="2" w:space="0" w:color="auto"/>
              <w:left w:val="single" w:sz="18" w:space="0" w:color="auto"/>
              <w:bottom w:val="single" w:sz="2" w:space="0" w:color="auto"/>
              <w:right w:val="single" w:sz="18" w:space="0" w:color="auto"/>
            </w:tcBorders>
            <w:shd w:val="clear" w:color="auto" w:fill="FFFFFF" w:themeFill="background1"/>
          </w:tcPr>
          <w:p w:rsidR="00CA0285" w:rsidRDefault="00B43E9B" w:rsidP="007A1D1C">
            <w:pPr>
              <w:pStyle w:val="VPTabelleInhaltJMF"/>
            </w:pPr>
            <w:r w:rsidRPr="00B43E9B">
              <w:t>Die verschiedenen Positionen im Konflikt werden arbeitsteilig in der Klasse bearbeitet.</w:t>
            </w:r>
          </w:p>
          <w:p w:rsidR="00B43E9B" w:rsidRDefault="00B43E9B" w:rsidP="00B43E9B">
            <w:pPr>
              <w:pStyle w:val="VPTabelleInhaltJMF"/>
            </w:pPr>
            <w:r>
              <w:t>1. Fasse die im Text genannten Argumente gegen den Bau des Kundenzentrums auf dem Börneplatz zusammen.</w:t>
            </w:r>
          </w:p>
          <w:p w:rsidR="00B43E9B" w:rsidRDefault="00B43E9B" w:rsidP="00B43E9B">
            <w:pPr>
              <w:pStyle w:val="VPTabelleInhaltJMF"/>
            </w:pPr>
            <w:r>
              <w:t>2. Wer spricht? Nenne die Perspektive, aus der die Ausgrabungen betrachtet werden.</w:t>
            </w:r>
          </w:p>
          <w:p w:rsidR="00B43E9B" w:rsidRPr="00416C49" w:rsidRDefault="00B43E9B" w:rsidP="00B43E9B">
            <w:pPr>
              <w:pStyle w:val="VPTabelleInhaltJMF"/>
            </w:pPr>
            <w:r>
              <w:t>3. Um was ging es den beteiligten Akteur*innen? Arbeite heraus, warum die Bebauung des Börneplatzes einen heftigen Konflikt hervorrief</w:t>
            </w:r>
          </w:p>
        </w:tc>
        <w:tc>
          <w:tcPr>
            <w:tcW w:w="1574" w:type="dxa"/>
            <w:tcBorders>
              <w:left w:val="single" w:sz="18" w:space="0" w:color="auto"/>
              <w:right w:val="single" w:sz="18" w:space="0" w:color="auto"/>
            </w:tcBorders>
            <w:shd w:val="clear" w:color="auto" w:fill="FFFFFF" w:themeFill="background1"/>
          </w:tcPr>
          <w:p w:rsidR="00CA0285" w:rsidRPr="00E64F89" w:rsidRDefault="00E64F89" w:rsidP="00E64F89">
            <w:pPr>
              <w:pStyle w:val="VPTabelleInhaltJMF"/>
            </w:pPr>
            <w:r w:rsidRPr="00E64F89">
              <w:t>Kleingruppen, Plenum</w:t>
            </w:r>
          </w:p>
        </w:tc>
        <w:tc>
          <w:tcPr>
            <w:tcW w:w="1781" w:type="dxa"/>
            <w:tcBorders>
              <w:top w:val="single" w:sz="2" w:space="0" w:color="auto"/>
              <w:left w:val="single" w:sz="18" w:space="0" w:color="auto"/>
              <w:bottom w:val="single" w:sz="2" w:space="0" w:color="auto"/>
              <w:right w:val="nil"/>
            </w:tcBorders>
            <w:shd w:val="clear" w:color="auto" w:fill="FFFFFF" w:themeFill="background1"/>
          </w:tcPr>
          <w:p w:rsidR="007A1D1C" w:rsidRDefault="007A1D1C" w:rsidP="007A1D1C">
            <w:pPr>
              <w:pStyle w:val="VPTabelleInhaltJMF"/>
            </w:pPr>
            <w:r>
              <w:t>4 Karten</w:t>
            </w:r>
          </w:p>
          <w:p w:rsidR="00CA0285" w:rsidRPr="00416C49" w:rsidRDefault="007A1D1C" w:rsidP="007A1D1C">
            <w:pPr>
              <w:pStyle w:val="VPTabelleInhaltJMF"/>
            </w:pPr>
            <w:r>
              <w:t>PPP, Folien 10–14</w:t>
            </w:r>
          </w:p>
        </w:tc>
      </w:tr>
      <w:tr w:rsidR="006703FF" w:rsidRPr="00416C49" w:rsidTr="00D455BB">
        <w:tc>
          <w:tcPr>
            <w:tcW w:w="2038" w:type="dxa"/>
            <w:tcBorders>
              <w:top w:val="single" w:sz="4" w:space="0" w:color="auto"/>
              <w:left w:val="nil"/>
              <w:bottom w:val="single" w:sz="4" w:space="0" w:color="auto"/>
              <w:right w:val="single" w:sz="18" w:space="0" w:color="auto"/>
            </w:tcBorders>
            <w:shd w:val="clear" w:color="auto" w:fill="FFFFFF" w:themeFill="background1"/>
          </w:tcPr>
          <w:p w:rsidR="00D455BB" w:rsidRDefault="00D455BB" w:rsidP="00D455BB">
            <w:pPr>
              <w:pStyle w:val="VPTabelleInhaltJMF"/>
            </w:pPr>
            <w:r>
              <w:t>Gruppenpuzzle Phase 2</w:t>
            </w:r>
          </w:p>
          <w:p w:rsidR="00D455BB" w:rsidRDefault="00D455BB" w:rsidP="00D455BB">
            <w:pPr>
              <w:pStyle w:val="VPTabelleInhaltJMF"/>
            </w:pPr>
          </w:p>
          <w:p w:rsidR="006703FF" w:rsidRDefault="00D455BB" w:rsidP="00D455BB">
            <w:pPr>
              <w:pStyle w:val="VPTabelleInhaltJMF"/>
            </w:pPr>
            <w:r>
              <w:t>(20 Min.</w:t>
            </w:r>
          </w:p>
        </w:tc>
        <w:tc>
          <w:tcPr>
            <w:tcW w:w="3787" w:type="dxa"/>
            <w:tcBorders>
              <w:top w:val="single" w:sz="2" w:space="0" w:color="auto"/>
              <w:left w:val="single" w:sz="18" w:space="0" w:color="auto"/>
              <w:bottom w:val="single" w:sz="2" w:space="0" w:color="auto"/>
              <w:right w:val="single" w:sz="18" w:space="0" w:color="auto"/>
            </w:tcBorders>
            <w:shd w:val="clear" w:color="auto" w:fill="FFFFFF" w:themeFill="background1"/>
          </w:tcPr>
          <w:p w:rsidR="00D455BB" w:rsidRDefault="00D455BB" w:rsidP="00D455BB">
            <w:pPr>
              <w:pStyle w:val="VPTabelleInhaltJMF"/>
            </w:pPr>
            <w:r>
              <w:t xml:space="preserve">4. Tauscht euch über die Ergebnisse der vorigen Gruppenarbeit aus. Welche Akteur*innen spielten in dem Konflikt ein Rolle? Welche Argumente brachten sie vor? Welche tiefer liegenden Konflikte/ Fragen/ Interessen gab es? </w:t>
            </w:r>
          </w:p>
          <w:p w:rsidR="00D455BB" w:rsidRDefault="00D455BB" w:rsidP="00D455BB">
            <w:pPr>
              <w:pStyle w:val="VPTabelleInhaltJMF"/>
            </w:pPr>
            <w:r>
              <w:t xml:space="preserve">Die am Streit beteiligten Parteien einigten sich auf einen Kompromiss: In das Stadtwerkegebäude wurde ein Museum integriert. Seitdem kann die Öffentlichkeit die Hausfundamente und zwei Mikwen besichtigen. </w:t>
            </w:r>
          </w:p>
          <w:p w:rsidR="00D455BB" w:rsidRDefault="00D455BB" w:rsidP="00D455BB">
            <w:pPr>
              <w:pStyle w:val="VPTabelleInhaltJMF"/>
            </w:pPr>
            <w:r>
              <w:t>5. Ist das Museum Judengasse die richtige Lösung? Erörtert das Ergebnis des Konflikts.</w:t>
            </w:r>
          </w:p>
          <w:p w:rsidR="006703FF" w:rsidRDefault="006703FF" w:rsidP="007A1D1C">
            <w:pPr>
              <w:pStyle w:val="VPTabelleInhaltJMF"/>
            </w:pPr>
          </w:p>
        </w:tc>
        <w:tc>
          <w:tcPr>
            <w:tcW w:w="1574" w:type="dxa"/>
            <w:tcBorders>
              <w:left w:val="single" w:sz="18" w:space="0" w:color="auto"/>
              <w:right w:val="single" w:sz="18" w:space="0" w:color="auto"/>
            </w:tcBorders>
            <w:shd w:val="clear" w:color="auto" w:fill="FFFFFF" w:themeFill="background1"/>
          </w:tcPr>
          <w:p w:rsidR="00D455BB" w:rsidRDefault="00D455BB" w:rsidP="00D455BB">
            <w:pPr>
              <w:pStyle w:val="VPTabelleInhaltJMF"/>
            </w:pPr>
            <w:r>
              <w:t>Gruppenarbeit</w:t>
            </w:r>
          </w:p>
          <w:p w:rsidR="00D455BB" w:rsidRDefault="00D455BB" w:rsidP="00D455BB">
            <w:pPr>
              <w:pStyle w:val="VPTabelleInhaltJMF"/>
            </w:pPr>
          </w:p>
          <w:p w:rsidR="006703FF" w:rsidRPr="00E64F89" w:rsidRDefault="00D455BB" w:rsidP="00D455BB">
            <w:pPr>
              <w:pStyle w:val="VPTabelleInhaltJMF"/>
            </w:pPr>
            <w:r>
              <w:t>(ABCD, ABCD, ABCD, ABCD)</w:t>
            </w:r>
          </w:p>
        </w:tc>
        <w:tc>
          <w:tcPr>
            <w:tcW w:w="1781" w:type="dxa"/>
            <w:tcBorders>
              <w:top w:val="single" w:sz="2" w:space="0" w:color="auto"/>
              <w:left w:val="single" w:sz="18" w:space="0" w:color="auto"/>
              <w:bottom w:val="single" w:sz="2" w:space="0" w:color="auto"/>
              <w:right w:val="nil"/>
            </w:tcBorders>
            <w:shd w:val="clear" w:color="auto" w:fill="FFFFFF" w:themeFill="background1"/>
          </w:tcPr>
          <w:p w:rsidR="006703FF" w:rsidRDefault="00D455BB" w:rsidP="007A1D1C">
            <w:pPr>
              <w:pStyle w:val="VPTabelleInhaltJMF"/>
            </w:pPr>
            <w:r w:rsidRPr="00D455BB">
              <w:t>AB 2a–d, je nach Niveau AB 1a–c leichter</w:t>
            </w:r>
          </w:p>
        </w:tc>
      </w:tr>
      <w:tr w:rsidR="00D455BB" w:rsidRPr="00416C49" w:rsidTr="00E64F89">
        <w:tc>
          <w:tcPr>
            <w:tcW w:w="2038" w:type="dxa"/>
            <w:tcBorders>
              <w:top w:val="single" w:sz="4" w:space="0" w:color="auto"/>
              <w:left w:val="nil"/>
              <w:bottom w:val="single" w:sz="2" w:space="0" w:color="auto"/>
              <w:right w:val="single" w:sz="18" w:space="0" w:color="auto"/>
            </w:tcBorders>
            <w:shd w:val="clear" w:color="auto" w:fill="FFFFFF" w:themeFill="background1"/>
          </w:tcPr>
          <w:p w:rsidR="00D455BB" w:rsidRDefault="00D455BB" w:rsidP="00D455BB">
            <w:pPr>
              <w:pStyle w:val="VPTabelleInhaltJMF"/>
            </w:pPr>
            <w:r>
              <w:t>Auswertung</w:t>
            </w:r>
          </w:p>
          <w:p w:rsidR="00D455BB" w:rsidRDefault="00D455BB" w:rsidP="00D455BB">
            <w:pPr>
              <w:pStyle w:val="VPTabelleInhaltJMF"/>
            </w:pPr>
            <w:r>
              <w:t>des Gruppenpuzzles / Überprüfung der Hypothesen</w:t>
            </w:r>
          </w:p>
          <w:p w:rsidR="00D455BB" w:rsidRDefault="00D455BB" w:rsidP="00D455BB">
            <w:pPr>
              <w:pStyle w:val="VPTabelleInhaltJMF"/>
            </w:pPr>
            <w:r>
              <w:t>(20 Min.)</w:t>
            </w:r>
          </w:p>
        </w:tc>
        <w:tc>
          <w:tcPr>
            <w:tcW w:w="3787" w:type="dxa"/>
            <w:tcBorders>
              <w:top w:val="single" w:sz="2" w:space="0" w:color="auto"/>
              <w:left w:val="single" w:sz="18" w:space="0" w:color="auto"/>
              <w:right w:val="single" w:sz="18" w:space="0" w:color="auto"/>
            </w:tcBorders>
            <w:shd w:val="clear" w:color="auto" w:fill="FFFFFF" w:themeFill="background1"/>
          </w:tcPr>
          <w:p w:rsidR="00D455BB" w:rsidRDefault="00D455BB" w:rsidP="00D455BB">
            <w:pPr>
              <w:pStyle w:val="VPTabelleInhaltJMF"/>
            </w:pPr>
            <w:r>
              <w:t>Besprechung der Ergebnisse des Arbeitsauftrags 4 und Vergleich mit den Einstiegshypothesen</w:t>
            </w:r>
          </w:p>
          <w:p w:rsidR="00D455BB" w:rsidRDefault="00D455BB" w:rsidP="00D455BB">
            <w:pPr>
              <w:pStyle w:val="VPTabelleInhaltJMF"/>
            </w:pPr>
          </w:p>
          <w:p w:rsidR="00D455BB" w:rsidRDefault="00D455BB" w:rsidP="00D455BB">
            <w:pPr>
              <w:pStyle w:val="VPTabelleInhaltJMF"/>
            </w:pPr>
            <w:r>
              <w:t>Dann Diskussion von Arbeitsauftrag 5:</w:t>
            </w:r>
          </w:p>
          <w:p w:rsidR="00D455BB" w:rsidRDefault="00D455BB" w:rsidP="00D455BB">
            <w:pPr>
              <w:pStyle w:val="VPTabelleInhaltJMF"/>
            </w:pPr>
            <w:r>
              <w:t>Ist das Museum Judengasse die angemessene Lösung? Erörtert das Ergebnis des Konflikts.</w:t>
            </w:r>
          </w:p>
        </w:tc>
        <w:tc>
          <w:tcPr>
            <w:tcW w:w="1574" w:type="dxa"/>
            <w:tcBorders>
              <w:left w:val="single" w:sz="18" w:space="0" w:color="auto"/>
              <w:right w:val="single" w:sz="18" w:space="0" w:color="auto"/>
            </w:tcBorders>
            <w:shd w:val="clear" w:color="auto" w:fill="FFFFFF" w:themeFill="background1"/>
          </w:tcPr>
          <w:p w:rsidR="00D455BB" w:rsidRDefault="00D455BB" w:rsidP="00D455BB">
            <w:pPr>
              <w:pStyle w:val="VPTabelleInhaltJMF"/>
            </w:pPr>
            <w:r>
              <w:t>Plenum</w:t>
            </w:r>
          </w:p>
        </w:tc>
        <w:tc>
          <w:tcPr>
            <w:tcW w:w="1781" w:type="dxa"/>
            <w:tcBorders>
              <w:top w:val="single" w:sz="2" w:space="0" w:color="auto"/>
              <w:left w:val="single" w:sz="18" w:space="0" w:color="auto"/>
              <w:bottom w:val="single" w:sz="2" w:space="0" w:color="auto"/>
              <w:right w:val="nil"/>
            </w:tcBorders>
            <w:shd w:val="clear" w:color="auto" w:fill="FFFFFF" w:themeFill="background1"/>
          </w:tcPr>
          <w:p w:rsidR="00D455BB" w:rsidRPr="00D455BB" w:rsidRDefault="00D455BB" w:rsidP="007A1D1C">
            <w:pPr>
              <w:pStyle w:val="VPTabelleInhaltJMF"/>
            </w:pPr>
          </w:p>
        </w:tc>
      </w:tr>
    </w:tbl>
    <w:p w:rsidR="009A7E82" w:rsidRDefault="009A7E82" w:rsidP="00D55D8C">
      <w:pPr>
        <w:pStyle w:val="VPUeberschrift1JMF"/>
      </w:pPr>
    </w:p>
    <w:p w:rsidR="00D455BB" w:rsidRDefault="00A75B51" w:rsidP="00D15C4B">
      <w:pPr>
        <w:pStyle w:val="VPUeberschrift1JMF"/>
      </w:pPr>
      <w:r w:rsidRPr="00A75B51">
        <w:t xml:space="preserve">Erwartungshorizont </w:t>
      </w:r>
    </w:p>
    <w:p w:rsidR="00D455BB" w:rsidRPr="00D455BB" w:rsidRDefault="00D455BB" w:rsidP="00D455BB">
      <w:pPr>
        <w:pStyle w:val="VPFlietextJMF"/>
        <w:rPr>
          <w:b/>
        </w:rPr>
      </w:pPr>
      <w:r w:rsidRPr="00D455BB">
        <w:rPr>
          <w:b/>
        </w:rPr>
        <w:t xml:space="preserve">Gruppenpuzzle Phase 1 </w:t>
      </w:r>
    </w:p>
    <w:p w:rsidR="00D455BB" w:rsidRDefault="00D455BB" w:rsidP="007A1D1C">
      <w:pPr>
        <w:pStyle w:val="VPFlietextJMF"/>
      </w:pPr>
      <w:r w:rsidRPr="00D455BB">
        <w:rPr>
          <w:b/>
        </w:rPr>
        <w:t>AB 2a / AB 2a leichter</w:t>
      </w:r>
      <w:r>
        <w:t xml:space="preserve">: Flugblatt der jüdischen Gruppe vom 14.8.1987 </w:t>
      </w:r>
    </w:p>
    <w:p w:rsidR="00D455BB" w:rsidRDefault="007040C3" w:rsidP="00D455BB">
      <w:pPr>
        <w:pStyle w:val="VPFlietextJMF"/>
      </w:pPr>
      <w:r>
        <w:t>1.</w:t>
      </w:r>
      <w:r w:rsidR="00175868">
        <w:t xml:space="preserve"> </w:t>
      </w:r>
      <w:r w:rsidR="00D455BB">
        <w:t xml:space="preserve">Gegen Bebauung: </w:t>
      </w:r>
    </w:p>
    <w:p w:rsidR="00D455BB" w:rsidRDefault="00D455BB" w:rsidP="00D455BB">
      <w:pPr>
        <w:pStyle w:val="VPListeJMF"/>
      </w:pPr>
      <w:r>
        <w:t>Die Bebauung zerstört die ausgegrabenen unersetzlichen Denkmäler jüdischen Lebens in Frankfurt.</w:t>
      </w:r>
    </w:p>
    <w:p w:rsidR="00D455BB" w:rsidRDefault="00D455BB" w:rsidP="00D455BB">
      <w:pPr>
        <w:pStyle w:val="VPListeJMF"/>
      </w:pPr>
      <w:r>
        <w:t xml:space="preserve">Die Steine sind Zeugen der Frankfurter jüdischen Vergangenheit. Sie darf nicht vergessen werden. </w:t>
      </w:r>
    </w:p>
    <w:p w:rsidR="00D455BB" w:rsidRDefault="00D455BB" w:rsidP="00D455BB">
      <w:pPr>
        <w:pStyle w:val="VPListeJMF"/>
      </w:pPr>
      <w:r>
        <w:lastRenderedPageBreak/>
        <w:t>Sie zeigen auch, dass die (nationalsozialistische) Verfolgung nicht vollständig vollzogen wurde. Der Öffentlichkeit die Steine zu zeigen, ist ein Akt der Selbstbehauptung und ein Beweis, gegen den Willen der Verfolger*innen überlebt zu haben.</w:t>
      </w:r>
    </w:p>
    <w:p w:rsidR="00D455BB" w:rsidRDefault="00D455BB" w:rsidP="00D455BB">
      <w:pPr>
        <w:pStyle w:val="VPListeJMF"/>
      </w:pPr>
      <w:r>
        <w:t>-Sich auf die deutsch-jüdische Geschichte beziehen zu können, ist existenziell für eine jüdische Gemeinschaft in Deutschland.</w:t>
      </w:r>
    </w:p>
    <w:p w:rsidR="00D455BB" w:rsidRDefault="00D455BB" w:rsidP="00D455BB">
      <w:pPr>
        <w:pStyle w:val="VPListeJMF"/>
      </w:pPr>
      <w:r>
        <w:t xml:space="preserve">Die Steine sind für Jüdinnen*Juden wichtig, um an die eigenen Traditionen anzuknüpfen. </w:t>
      </w:r>
    </w:p>
    <w:p w:rsidR="00D455BB" w:rsidRDefault="00D455BB" w:rsidP="007040C3">
      <w:pPr>
        <w:pStyle w:val="VPListeJMF"/>
      </w:pPr>
      <w:r>
        <w:t>Sie sind für Nichtjüdinnen*Nichtjuden notwendig, um sich die gemeinsame deutsch-jüdische Geschichte zu vergegenwärtigen.</w:t>
      </w:r>
    </w:p>
    <w:p w:rsidR="007040C3" w:rsidRPr="007040C3" w:rsidRDefault="007040C3" w:rsidP="007040C3">
      <w:pPr>
        <w:pStyle w:val="VPListeJMF"/>
        <w:numPr>
          <w:ilvl w:val="0"/>
          <w:numId w:val="0"/>
        </w:numPr>
        <w:ind w:left="720"/>
        <w:rPr>
          <w:sz w:val="10"/>
        </w:rPr>
      </w:pPr>
    </w:p>
    <w:p w:rsidR="00D455BB" w:rsidRDefault="00D455BB" w:rsidP="00D455BB">
      <w:pPr>
        <w:pStyle w:val="VPFlietextJMF"/>
      </w:pPr>
      <w:r>
        <w:t>2.</w:t>
      </w:r>
      <w:r w:rsidR="00175868">
        <w:t xml:space="preserve"> </w:t>
      </w:r>
      <w:r w:rsidRPr="00D455BB">
        <w:t>Frankfurter Jüdinnen*Juden, die sich der Bürgerinitiative angeschlossen haben.</w:t>
      </w:r>
    </w:p>
    <w:p w:rsidR="00D455BB" w:rsidRPr="00D455BB" w:rsidRDefault="007040C3" w:rsidP="00D455BB">
      <w:pPr>
        <w:pStyle w:val="VPFlietextJMF"/>
      </w:pPr>
      <w:r>
        <w:t>3.</w:t>
      </w:r>
      <w:r w:rsidR="00175868">
        <w:t xml:space="preserve"> </w:t>
      </w:r>
      <w:r w:rsidR="00D455BB" w:rsidRPr="00D455BB">
        <w:t>Motivation:</w:t>
      </w:r>
    </w:p>
    <w:p w:rsidR="00D455BB" w:rsidRPr="00D36FD0" w:rsidRDefault="00D455BB" w:rsidP="00D455BB">
      <w:pPr>
        <w:pStyle w:val="VPListeJMF"/>
      </w:pPr>
      <w:r w:rsidRPr="00D36FD0">
        <w:t>Es geht um den Umgang mit der deutsch-jüdischen Geschichte und ihre Bedeutung für das Leben in Deutschland als Jüdinnen*Juden.</w:t>
      </w:r>
    </w:p>
    <w:p w:rsidR="00D455BB" w:rsidRPr="00D36FD0" w:rsidRDefault="00D455BB" w:rsidP="00D455BB">
      <w:pPr>
        <w:pStyle w:val="VPListeJMF"/>
      </w:pPr>
      <w:r w:rsidRPr="00D36FD0">
        <w:t>Auch für Nichtjüdinnen*Juden ist die gemeinsame Geschichte essenziell für das zukünftige Zusammenleben.</w:t>
      </w:r>
    </w:p>
    <w:p w:rsidR="00D455BB" w:rsidRPr="00D36FD0" w:rsidRDefault="00D455BB" w:rsidP="00D455BB">
      <w:pPr>
        <w:pStyle w:val="VPListeJMF"/>
      </w:pPr>
      <w:r w:rsidRPr="00D36FD0">
        <w:t>Die Steine zu bewahren, ist ein Akt der jüdischen Selbstbehauptung: wider den Willen der Verfolger*innen die Schoa überlebt zu haben.</w:t>
      </w:r>
    </w:p>
    <w:p w:rsidR="00D455BB" w:rsidRPr="007040C3" w:rsidRDefault="00D455BB" w:rsidP="007040C3">
      <w:pPr>
        <w:pStyle w:val="VPListeJMF"/>
        <w:rPr>
          <w:sz w:val="10"/>
        </w:rPr>
      </w:pPr>
    </w:p>
    <w:p w:rsidR="00D455BB" w:rsidRPr="00D455BB" w:rsidRDefault="00D455BB" w:rsidP="00D455BB">
      <w:pPr>
        <w:pStyle w:val="VPFlietextJMF"/>
        <w:rPr>
          <w:b/>
        </w:rPr>
      </w:pPr>
      <w:r>
        <w:rPr>
          <w:b/>
        </w:rPr>
        <w:t xml:space="preserve">AB 2b / AB 2b leichter: </w:t>
      </w:r>
      <w:r>
        <w:t>Kommentar von Claudia Michels in der Frankfurter Rundschau am 7.8.1987</w:t>
      </w:r>
    </w:p>
    <w:p w:rsidR="00D455BB" w:rsidRDefault="00D455BB" w:rsidP="007A1D1C">
      <w:pPr>
        <w:pStyle w:val="VPFlietextJMF"/>
      </w:pPr>
      <w:r>
        <w:t>1.</w:t>
      </w:r>
      <w:r w:rsidR="00175868">
        <w:t xml:space="preserve"> </w:t>
      </w:r>
      <w:r w:rsidRPr="00D455BB">
        <w:t>Gegen Bebauung:</w:t>
      </w:r>
    </w:p>
    <w:p w:rsidR="00D455BB" w:rsidRDefault="00D455BB" w:rsidP="00D455BB">
      <w:pPr>
        <w:pStyle w:val="VPListeJMF"/>
      </w:pPr>
      <w:r>
        <w:t>Bebauung verbirgt leidvolle jüdische Geschichte.</w:t>
      </w:r>
    </w:p>
    <w:p w:rsidR="00D455BB" w:rsidRDefault="00D455BB" w:rsidP="00D455BB">
      <w:pPr>
        <w:pStyle w:val="VPListeJMF"/>
      </w:pPr>
      <w:r>
        <w:t>Die Stadtgesellschaft sollte sich mit unbequemer Geschichte beschäftigen, statt sie zu entsorgen.</w:t>
      </w:r>
    </w:p>
    <w:p w:rsidR="00D455BB" w:rsidRDefault="00D455BB" w:rsidP="00D455BB">
      <w:pPr>
        <w:pStyle w:val="VPListeJMF"/>
      </w:pPr>
      <w:r>
        <w:t>Das Bewahren der Getto-Mauern bedeutet, gegen das Vergessen einzustehen.</w:t>
      </w:r>
    </w:p>
    <w:p w:rsidR="00D455BB" w:rsidRDefault="00D455BB" w:rsidP="00D455BB">
      <w:pPr>
        <w:pStyle w:val="VPListeJMF"/>
      </w:pPr>
      <w:r>
        <w:t>Es soll kein Mahnmal an anderem Ort gebaut werden, stattdessen soll die Erinnerung direkt am authentischen Ort stattfinden. (-&gt; nur schwerere Version)</w:t>
      </w:r>
    </w:p>
    <w:p w:rsidR="00D455BB" w:rsidRDefault="00D455BB" w:rsidP="00D455BB">
      <w:pPr>
        <w:pStyle w:val="VPListeJMF"/>
      </w:pPr>
      <w:r>
        <w:t>Es ist Aufgabe der Nichtjüdinnen*Nichtjuden, sich zu erinnern.</w:t>
      </w:r>
    </w:p>
    <w:p w:rsidR="00D455BB" w:rsidRPr="007040C3" w:rsidRDefault="00D455BB" w:rsidP="007040C3">
      <w:pPr>
        <w:pStyle w:val="VPListeJMF"/>
        <w:rPr>
          <w:sz w:val="10"/>
        </w:rPr>
      </w:pPr>
    </w:p>
    <w:p w:rsidR="00D455BB" w:rsidRDefault="00D455BB" w:rsidP="00D455BB">
      <w:pPr>
        <w:pStyle w:val="VPFlietextJMF"/>
      </w:pPr>
      <w:r>
        <w:t>2.</w:t>
      </w:r>
      <w:r w:rsidR="00175868">
        <w:t xml:space="preserve"> </w:t>
      </w:r>
      <w:r>
        <w:t>Nichtjü</w:t>
      </w:r>
      <w:r w:rsidR="007040C3">
        <w:t>dische Frankfurter Bürger*innen</w:t>
      </w:r>
    </w:p>
    <w:p w:rsidR="00D455BB" w:rsidRDefault="00D455BB" w:rsidP="007A1D1C">
      <w:pPr>
        <w:pStyle w:val="VPFlietextJMF"/>
      </w:pPr>
      <w:r>
        <w:t>3.</w:t>
      </w:r>
      <w:r w:rsidR="00175868">
        <w:t xml:space="preserve"> </w:t>
      </w:r>
      <w:r>
        <w:t>Motivation</w:t>
      </w:r>
      <w:r w:rsidR="007040C3">
        <w:t xml:space="preserve">: </w:t>
      </w:r>
      <w:r w:rsidR="007040C3" w:rsidRPr="007040C3">
        <w:t>Es geht um den Umgang der nichtjüdischen Mehrheitsgesellschaft mit der jüdischen Geschichte vor der Schoa. Die Frage ist, ob sich die nichtjüdische Mehrheitsgesellschaft mit der jüdischen Geschichte der Stadt auseinandersetzen und sich auch unangenehmen Gefühlen und Fragen von Verantwortung stellen möchte.</w:t>
      </w:r>
    </w:p>
    <w:p w:rsidR="00D455BB" w:rsidRDefault="00D455BB" w:rsidP="007A1D1C">
      <w:pPr>
        <w:pStyle w:val="VPFlietextJMF"/>
      </w:pPr>
    </w:p>
    <w:p w:rsidR="00D455BB" w:rsidRDefault="007040C3" w:rsidP="007040C3">
      <w:pPr>
        <w:pStyle w:val="VPFlietextJMF"/>
      </w:pPr>
      <w:r w:rsidRPr="007040C3">
        <w:rPr>
          <w:b/>
        </w:rPr>
        <w:t>AB 2c / AB 2c leichter</w:t>
      </w:r>
      <w:r>
        <w:t>: Bericht von Nikolaus Münster in der Frankfurter Allgemeinen Zeitung</w:t>
      </w:r>
    </w:p>
    <w:p w:rsidR="00D455BB" w:rsidRDefault="007040C3" w:rsidP="007A1D1C">
      <w:pPr>
        <w:pStyle w:val="VPFlietextJMF"/>
      </w:pPr>
      <w:r>
        <w:t>1.</w:t>
      </w:r>
      <w:r w:rsidR="00175868">
        <w:t xml:space="preserve"> </w:t>
      </w:r>
      <w:r w:rsidRPr="007040C3">
        <w:t>Für Bebauung:</w:t>
      </w:r>
    </w:p>
    <w:p w:rsidR="007040C3" w:rsidRDefault="007040C3" w:rsidP="007040C3">
      <w:pPr>
        <w:pStyle w:val="VPListeJMF"/>
      </w:pPr>
      <w:r>
        <w:t xml:space="preserve">Stadt möchte an bestehenden Plänen festhalten. </w:t>
      </w:r>
    </w:p>
    <w:p w:rsidR="007040C3" w:rsidRDefault="007040C3" w:rsidP="007040C3">
      <w:pPr>
        <w:pStyle w:val="VPListeJMF"/>
      </w:pPr>
      <w:r>
        <w:t>Die Häuser Widder, Sperber, Lamm sollen an anderer Stelle hinter dem Kundenzentrum wiedererrichtet werden. (-&gt; nur schwerere Version)</w:t>
      </w:r>
    </w:p>
    <w:p w:rsidR="007040C3" w:rsidRDefault="007040C3" w:rsidP="007040C3">
      <w:pPr>
        <w:pStyle w:val="VPListeJMF"/>
      </w:pPr>
      <w:r>
        <w:t>Am direkten Fundort soll die Kundenhalle gebaut werden, andernfalls kann das Thema „Juden in Frankfurt“ nicht an die Kunden herangetragen werden.</w:t>
      </w:r>
    </w:p>
    <w:p w:rsidR="007040C3" w:rsidRDefault="007040C3" w:rsidP="007040C3">
      <w:pPr>
        <w:pStyle w:val="VPListeJMF"/>
      </w:pPr>
      <w:r>
        <w:t xml:space="preserve">Der Landesdenkmalpfleger hat die Planung bewilligt und befürwortet. </w:t>
      </w:r>
    </w:p>
    <w:p w:rsidR="007040C3" w:rsidRDefault="007040C3" w:rsidP="007040C3">
      <w:pPr>
        <w:pStyle w:val="VPListeJMF"/>
      </w:pPr>
      <w:r>
        <w:t>Sachzwang: 11 Mio. Mark sind bereits verbaut, es gibt für 53 Mio. verbindliche Zusagen. Es besteht die Gefahr, dass andernfalls Schadenersatz in Höhe von 10 Mio. Mark gefordert wird.</w:t>
      </w:r>
    </w:p>
    <w:p w:rsidR="007040C3" w:rsidRDefault="007040C3" w:rsidP="007040C3">
      <w:pPr>
        <w:pStyle w:val="VPListeJMF"/>
      </w:pPr>
      <w:r>
        <w:t>Stadtregierung hat eine Verantwortung gegenüber Stadtwerken und Belegschaft.</w:t>
      </w:r>
    </w:p>
    <w:p w:rsidR="007040C3" w:rsidRPr="007040C3" w:rsidRDefault="007040C3" w:rsidP="007040C3">
      <w:pPr>
        <w:pStyle w:val="VPListeJMF"/>
        <w:rPr>
          <w:sz w:val="10"/>
        </w:rPr>
      </w:pPr>
    </w:p>
    <w:p w:rsidR="007040C3" w:rsidRDefault="007040C3" w:rsidP="007040C3">
      <w:pPr>
        <w:pStyle w:val="VPFlietextJMF"/>
      </w:pPr>
      <w:r>
        <w:t>2.</w:t>
      </w:r>
      <w:r w:rsidR="00175868">
        <w:t xml:space="preserve"> </w:t>
      </w:r>
      <w:r>
        <w:t>Nikolaus Münster gibt die Perspektive von Oberbürgermeister Wolfram Brück wieder.</w:t>
      </w:r>
    </w:p>
    <w:p w:rsidR="007040C3" w:rsidRDefault="007040C3" w:rsidP="007040C3">
      <w:pPr>
        <w:pStyle w:val="VPFlietextJMF"/>
      </w:pPr>
      <w:r>
        <w:t>3.</w:t>
      </w:r>
      <w:r w:rsidR="00175868">
        <w:t xml:space="preserve"> </w:t>
      </w:r>
      <w:r>
        <w:t>Der Oberbürgermeister gewichtet die Gründe des Sachzwangs (Kosten, erfolgte Zusagen) höher, als die Fundamente am Ort zu bewahren.</w:t>
      </w:r>
    </w:p>
    <w:p w:rsidR="007040C3" w:rsidRDefault="007040C3" w:rsidP="007A1D1C">
      <w:pPr>
        <w:pStyle w:val="VPFlietextJMF"/>
      </w:pPr>
    </w:p>
    <w:p w:rsidR="007040C3" w:rsidRDefault="007040C3" w:rsidP="007040C3">
      <w:pPr>
        <w:pStyle w:val="VPFlietextJMF"/>
      </w:pPr>
      <w:r w:rsidRPr="007040C3">
        <w:rPr>
          <w:b/>
        </w:rPr>
        <w:t>AB 2d</w:t>
      </w:r>
      <w:r>
        <w:t>: Brief der Kirchen an Oberbürgermeister Brück vom 12.8.1987</w:t>
      </w:r>
    </w:p>
    <w:p w:rsidR="007040C3" w:rsidRDefault="007040C3" w:rsidP="007040C3">
      <w:pPr>
        <w:pStyle w:val="VPFlietextJMF"/>
      </w:pPr>
      <w:r>
        <w:t>1.</w:t>
      </w:r>
      <w:r w:rsidR="00175868">
        <w:t xml:space="preserve"> </w:t>
      </w:r>
      <w:r>
        <w:t xml:space="preserve">Gegen Bebauung: </w:t>
      </w:r>
    </w:p>
    <w:p w:rsidR="007040C3" w:rsidRDefault="007040C3" w:rsidP="007040C3">
      <w:pPr>
        <w:pStyle w:val="VPListeJMF"/>
      </w:pPr>
      <w:r w:rsidRPr="007040C3">
        <w:lastRenderedPageBreak/>
        <w:t>Wenn das Kundenzentrum gebaut wird, ist es nicht möglich, an die deutsch-jüdische Geschichte zu erinnern. Die Pläne der Stadt, wie erinnert werden soll (durch Mahnmal an anderem Ort), greifen zu kurz.</w:t>
      </w:r>
    </w:p>
    <w:p w:rsidR="007040C3" w:rsidRPr="007040C3" w:rsidRDefault="007040C3" w:rsidP="007040C3">
      <w:pPr>
        <w:pStyle w:val="VPListeJMF"/>
        <w:rPr>
          <w:sz w:val="10"/>
        </w:rPr>
      </w:pPr>
    </w:p>
    <w:p w:rsidR="007040C3" w:rsidRDefault="007040C3" w:rsidP="007040C3">
      <w:pPr>
        <w:pStyle w:val="VPFlietextJMF"/>
      </w:pPr>
      <w:r>
        <w:t>2. Kirchliche Vertreter*innen</w:t>
      </w:r>
    </w:p>
    <w:p w:rsidR="007040C3" w:rsidRDefault="007040C3" w:rsidP="007A1D1C">
      <w:pPr>
        <w:pStyle w:val="VPFlietextJMF"/>
      </w:pPr>
      <w:r>
        <w:t xml:space="preserve">3. Es geht ihnen um die Erinnerung an die deutsch-jüdische Geschichte. </w:t>
      </w:r>
    </w:p>
    <w:p w:rsidR="00A225B8" w:rsidRDefault="007040C3" w:rsidP="00A225B8">
      <w:pPr>
        <w:pStyle w:val="VPUeberschrift2JMF"/>
      </w:pPr>
      <w:r w:rsidRPr="007040C3">
        <w:t xml:space="preserve">Weitere Informationen / </w:t>
      </w:r>
      <w:r w:rsidR="00A225B8" w:rsidRPr="00A225B8">
        <w:t>Hilfestellungen:</w:t>
      </w:r>
    </w:p>
    <w:p w:rsidR="007040C3" w:rsidRDefault="007040C3" w:rsidP="007040C3">
      <w:pPr>
        <w:pStyle w:val="VPFlietextJMF"/>
      </w:pPr>
      <w:r>
        <w:t>Living Memories – immaterielles kulturelles Erbe leben. Podiumsdiskussion im Rahmen des Festivals MAPPING MEMORIES. VER(ANTW)ORTUNG BÖRNEPLATZ.</w:t>
      </w:r>
    </w:p>
    <w:p w:rsidR="007040C3" w:rsidRPr="00175868" w:rsidRDefault="007040C3" w:rsidP="00175868">
      <w:pPr>
        <w:pStyle w:val="VPFlietextJMF"/>
        <w:ind w:firstLine="708"/>
        <w:rPr>
          <w:rStyle w:val="Hyperlink"/>
        </w:rPr>
      </w:pPr>
      <w:r w:rsidRPr="00175868">
        <w:rPr>
          <w:rStyle w:val="Hyperlink"/>
        </w:rPr>
        <w:t xml:space="preserve">https://www.youtube.com/watch?v=33QGGQO70gQ </w:t>
      </w:r>
    </w:p>
    <w:p w:rsidR="007040C3" w:rsidRDefault="007040C3" w:rsidP="007040C3">
      <w:pPr>
        <w:pStyle w:val="VPFlietextJMF"/>
      </w:pPr>
      <w:r>
        <w:t>Dokumentation des Konflikts um den Börneplatz vom Institut für Stadtgeschichte.</w:t>
      </w:r>
    </w:p>
    <w:p w:rsidR="0039185E" w:rsidRDefault="00175868" w:rsidP="00511B25">
      <w:pPr>
        <w:pStyle w:val="VPFlietextJMF"/>
        <w:ind w:left="708"/>
      </w:pPr>
      <w:hyperlink r:id="rId11" w:history="1">
        <w:r w:rsidRPr="00B71572">
          <w:rPr>
            <w:rStyle w:val="Hyperlink"/>
          </w:rPr>
          <w:t>https://www.frankfurt1933-1945.de/beitraege/einzelne-orte-des-gedenkens/beitrag/der-konflikt-um-den-boerneplatz</w:t>
        </w:r>
      </w:hyperlink>
    </w:p>
    <w:p w:rsidR="007040C3" w:rsidRDefault="007040C3" w:rsidP="007040C3">
      <w:pPr>
        <w:pStyle w:val="VPFlietextJMF"/>
      </w:pPr>
      <w:r>
        <w:t>Michael Best (Hrsg.): Der Frankfurter Börneplatz. Zur Archäologie eines politischen Konfl</w:t>
      </w:r>
      <w:r w:rsidR="0039185E">
        <w:t xml:space="preserve">ikts, Fischer, Frankfurt 1988. </w:t>
      </w:r>
    </w:p>
    <w:p w:rsidR="007040C3" w:rsidRDefault="007040C3" w:rsidP="007040C3">
      <w:pPr>
        <w:pStyle w:val="VPFlietextJMF"/>
      </w:pPr>
      <w:r>
        <w:t>Micha Brumlik, Erinnern und Erklären. Unsystematische Überlegungen eines Beteiligten zum Börneplatz-Konflikt, in: Babylon. Beiträge zur jüdischen Gegenwart, Heft 3, Frankfurt am Main 1988, S. 9–17.</w:t>
      </w:r>
    </w:p>
    <w:p w:rsidR="0039185E" w:rsidRDefault="007040C3" w:rsidP="00511B25">
      <w:pPr>
        <w:pStyle w:val="VPFlietextJMF"/>
        <w:ind w:left="708"/>
      </w:pPr>
      <w:r>
        <w:t>Micha Brumlik bespricht in seinem Beitrag – mit Blick auf den Börneplatz-Konflikt – das Verhältnis zwischen Antijudaismus und (modernem und sekundärem) Antisemitismus und damit auch die Gründe, weshalb im Börneplatz-Konflikt tatsächlich „ein Kampf um die Erinne</w:t>
      </w:r>
      <w:r w:rsidR="0039185E">
        <w:t>rung ausgetragen“ wurde (S. 9).</w:t>
      </w:r>
    </w:p>
    <w:p w:rsidR="007040C3" w:rsidRDefault="007040C3" w:rsidP="007040C3">
      <w:pPr>
        <w:pStyle w:val="VPFlietextJMF"/>
      </w:pPr>
      <w:r>
        <w:t>Dan Diner, Schichten der Erinnerung – Zum Börneplatz-Konflikt, in: Babylon. Beiträge zur jüdischen Gegenwart, Heft 3, Frankfurt am Main 1988, S. 18–26.</w:t>
      </w:r>
    </w:p>
    <w:p w:rsidR="007040C3" w:rsidRDefault="007040C3" w:rsidP="00175868">
      <w:pPr>
        <w:pStyle w:val="VPFlietextJMF"/>
        <w:ind w:left="708"/>
      </w:pPr>
      <w:r>
        <w:t>Dan Diner erläutert in seinem Essay die Gründe, weshalb Jüdinnen*Juden in Deutschland nach Auschwitz keine einheitliche Position zum Börneplatz-Konflikt erlangen konnten. Diese Gründe wurden ebenso von Salomon Korn, damals Vorsitzender der Jüdischen Ge</w:t>
      </w:r>
      <w:r w:rsidR="0039185E">
        <w:t>meinde Frankfurt, aufgegriffen:</w:t>
      </w:r>
    </w:p>
    <w:p w:rsidR="007040C3" w:rsidRDefault="007040C3" w:rsidP="007040C3">
      <w:pPr>
        <w:pStyle w:val="VPFlietextJMF"/>
      </w:pPr>
      <w:r>
        <w:t>Salomon Korn, Börneplatz: Spuren des Konflikts, in: Georg Heuberger (Hrsg.): Stationen des Vergessens. Der Börneplatz-Konflikt, Frankfurt am Main: Jüdisches Museum 1992, S. 97–99.</w:t>
      </w:r>
    </w:p>
    <w:p w:rsidR="00227F65" w:rsidRPr="007040C3" w:rsidRDefault="007040C3" w:rsidP="00511B25">
      <w:pPr>
        <w:pStyle w:val="VPFlietextJMF"/>
        <w:ind w:left="708"/>
      </w:pPr>
      <w:r>
        <w:t>Salomon Korn beschreibt in seinem Beitrag die Gründe, weshalb die Jüdische Gemeinde Frankfurt Schwierigkeiten hatte, eine einheitliche Position im Börneplatz-Konflikt zu entwickeln.</w:t>
      </w:r>
      <w:bookmarkStart w:id="0" w:name="_GoBack"/>
      <w:bookmarkEnd w:id="0"/>
    </w:p>
    <w:sectPr w:rsidR="00227F65" w:rsidRPr="007040C3" w:rsidSect="00F30ED2">
      <w:headerReference w:type="default" r:id="rId12"/>
      <w:footerReference w:type="default" r:id="rId13"/>
      <w:headerReference w:type="first" r:id="rId14"/>
      <w:footerReference w:type="first" r:id="rId15"/>
      <w:pgSz w:w="11906" w:h="16838"/>
      <w:pgMar w:top="1417" w:right="1417" w:bottom="1134" w:left="1417"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64F89" w:rsidRDefault="00E64F89" w:rsidP="007B3A05">
      <w:pPr>
        <w:spacing w:after="0" w:line="240" w:lineRule="auto"/>
      </w:pPr>
      <w:r>
        <w:separator/>
      </w:r>
    </w:p>
  </w:endnote>
  <w:endnote w:type="continuationSeparator" w:id="0">
    <w:p w:rsidR="00E64F89" w:rsidRDefault="00E64F89" w:rsidP="007B3A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7295EA6A-80A1-46BB-991D-5330160801ED}"/>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embedRegular r:id="rId2" w:fontKey="{86910085-69C3-4B7D-A7F4-799E6FC74BA1}"/>
  </w:font>
  <w:font w:name="Libre Baskerville">
    <w:altName w:val="Times New Roman"/>
    <w:panose1 w:val="02000000000000000000"/>
    <w:charset w:val="00"/>
    <w:family w:val="modern"/>
    <w:notTrueType/>
    <w:pitch w:val="variable"/>
    <w:sig w:usb0="A00000BF" w:usb1="5000005B" w:usb2="00000000" w:usb3="00000000" w:csb0="00000093" w:csb1="00000000"/>
  </w:font>
  <w:font w:name="Baskerville Old Face">
    <w:panose1 w:val="02020602080505020303"/>
    <w:charset w:val="00"/>
    <w:family w:val="roman"/>
    <w:pitch w:val="variable"/>
    <w:sig w:usb0="00000003" w:usb1="00000000" w:usb2="00000000" w:usb3="00000000" w:csb0="00000001" w:csb1="00000000"/>
    <w:embedRegular r:id="rId3" w:fontKey="{F592634C-1394-45B6-A5E0-67B4901E0374}"/>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8656" behindDoc="0" locked="0" layoutInCell="1" allowOverlap="1" wp14:anchorId="6BC6722E" wp14:editId="37174360">
              <wp:simplePos x="0" y="0"/>
              <wp:positionH relativeFrom="column">
                <wp:posOffset>6184900</wp:posOffset>
              </wp:positionH>
              <wp:positionV relativeFrom="paragraph">
                <wp:posOffset>231775</wp:posOffset>
              </wp:positionV>
              <wp:extent cx="415159" cy="375745"/>
              <wp:effectExtent l="0" t="0" r="4445" b="5715"/>
              <wp:wrapNone/>
              <wp:docPr id="581629442" name="Textfeld 581629442"/>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511B25">
                            <w:rPr>
                              <w:rFonts w:ascii="Baskerville Old Face" w:hAnsi="Baskerville Old Face"/>
                              <w:noProof/>
                              <w:sz w:val="22"/>
                              <w:szCs w:val="22"/>
                            </w:rPr>
                            <w:t>3</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BC6722E" id="_x0000_t202" coordsize="21600,21600" o:spt="202" path="m,l,21600r21600,l21600,xe">
              <v:stroke joinstyle="miter"/>
              <v:path gradientshapeok="t" o:connecttype="rect"/>
            </v:shapetype>
            <v:shape id="Textfeld 581629442" o:spid="_x0000_s1026" type="#_x0000_t202" style="position:absolute;left:0;text-align:left;margin-left:487pt;margin-top:18.25pt;width:32.7pt;height:29.6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511B25">
                      <w:rPr>
                        <w:rFonts w:ascii="Baskerville Old Face" w:hAnsi="Baskerville Old Face"/>
                        <w:noProof/>
                        <w:sz w:val="22"/>
                        <w:szCs w:val="22"/>
                      </w:rPr>
                      <w:t>3</w:t>
                    </w:r>
                    <w:r w:rsidRPr="003D5052">
                      <w:rPr>
                        <w:rFonts w:ascii="Baskerville Old Face" w:hAnsi="Baskerville Old Face"/>
                        <w:sz w:val="22"/>
                        <w:szCs w:val="22"/>
                      </w:rPr>
                      <w:fldChar w:fldCharType="end"/>
                    </w:r>
                  </w:p>
                </w:txbxContent>
              </v:textbox>
            </v:shape>
          </w:pict>
        </mc:Fallback>
      </mc:AlternateContent>
    </w:r>
  </w:p>
  <w:p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7632" behindDoc="0" locked="1" layoutInCell="1" allowOverlap="1" wp14:anchorId="12808CAD" wp14:editId="4EA43B31">
              <wp:simplePos x="0" y="0"/>
              <wp:positionH relativeFrom="margin">
                <wp:posOffset>-320040</wp:posOffset>
              </wp:positionH>
              <wp:positionV relativeFrom="bottomMargin">
                <wp:posOffset>29210</wp:posOffset>
              </wp:positionV>
              <wp:extent cx="6371590" cy="0"/>
              <wp:effectExtent l="0" t="0" r="29210" b="19050"/>
              <wp:wrapNone/>
              <wp:docPr id="581629443"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CC1F155" id="Gerader Verbinder 2" o:spid="_x0000_s1026" style="position:absolute;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 from="-25.2pt,2.3pt" to="476.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" strokecolor="windowText" strokeweight=".5pt">
              <v:stroke joinstyle="miter"/>
              <w10:wrap anchorx="margin" anchory="margin"/>
              <w10:anchorlock/>
            </v:line>
          </w:pict>
        </mc:Fallback>
      </mc:AlternateContent>
    </w:r>
    <w:r w:rsidRPr="001F28B6">
      <w:rPr>
        <w:lang w:eastAsia="de-DE"/>
      </w:rPr>
      <w:drawing>
        <wp:anchor distT="0" distB="0" distL="114300" distR="114300" simplePos="0" relativeHeight="251716608" behindDoc="0" locked="1" layoutInCell="1" allowOverlap="1" wp14:anchorId="1484C0D7" wp14:editId="43E6A31D">
          <wp:simplePos x="0" y="0"/>
          <wp:positionH relativeFrom="margin">
            <wp:posOffset>37465</wp:posOffset>
          </wp:positionH>
          <wp:positionV relativeFrom="bottomMargin">
            <wp:posOffset>195580</wp:posOffset>
          </wp:positionV>
          <wp:extent cx="852805" cy="298450"/>
          <wp:effectExtent l="0" t="0" r="4445" b="6350"/>
          <wp:wrapSquare wrapText="bothSides"/>
          <wp:docPr id="581629444"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A225B8">
        <w:rPr>
          <w:u w:val="single"/>
        </w:rPr>
        <w:t>CC BY-SA 4.0-Lizenz</w:t>
      </w:r>
    </w:hyperlink>
    <w:r w:rsidR="00A225B8">
      <w:t>. Die Namen der Urheber*innen</w:t>
    </w:r>
    <w:r w:rsidRPr="001F28B6">
      <w:t xml:space="preserve"> soll</w:t>
    </w:r>
    <w:r w:rsidR="00A225B8">
      <w:t>en</w:t>
    </w:r>
    <w:r w:rsidRPr="001F28B6">
      <w:t xml:space="preserve"> bei einer Weiterverwendung wie folgt genannt werden: Henning Gutfleisch</w:t>
    </w:r>
    <w:r w:rsidR="00A225B8">
      <w:t xml:space="preserve"> und Sophie Schmidt</w:t>
    </w:r>
    <w:r w:rsidRPr="001F28B6">
      <w:t xml:space="preserve">, </w:t>
    </w:r>
    <w:hyperlink r:id="rId3" w:history="1">
      <w:r w:rsidRPr="00A225B8">
        <w:rPr>
          <w:u w:val="single"/>
        </w:rPr>
        <w:t>Jüdisches Museum Frankfurt</w:t>
      </w:r>
    </w:hyperlink>
    <w:r w:rsidRPr="001F28B6">
      <w:t xml:space="preserve">. </w:t>
    </w:r>
  </w:p>
  <w:p w:rsidR="007B3A05" w:rsidRPr="00A75B51" w:rsidRDefault="007B3A05" w:rsidP="009116D9">
    <w:pPr>
      <w:pStyle w:val="Fuzeile"/>
      <w:rPr>
        <w:rFonts w:ascii="Libre Baskerville" w:hAnsi="Libre Baskerville"/>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2512" behindDoc="0" locked="0" layoutInCell="1" allowOverlap="1" wp14:anchorId="45146534" wp14:editId="0B54B90C">
              <wp:simplePos x="0" y="0"/>
              <wp:positionH relativeFrom="column">
                <wp:posOffset>6184900</wp:posOffset>
              </wp:positionH>
              <wp:positionV relativeFrom="paragraph">
                <wp:posOffset>231775</wp:posOffset>
              </wp:positionV>
              <wp:extent cx="415159" cy="375745"/>
              <wp:effectExtent l="0" t="0" r="4445" b="5715"/>
              <wp:wrapNone/>
              <wp:docPr id="31" name="Textfeld 31"/>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30ED2">
                            <w:rPr>
                              <w:rFonts w:ascii="Baskerville Old Face" w:hAnsi="Baskerville Old Face"/>
                              <w:noProof/>
                              <w:sz w:val="22"/>
                              <w:szCs w:val="22"/>
                            </w:rPr>
                            <w:t>1</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5146534" id="_x0000_t202" coordsize="21600,21600" o:spt="202" path="m,l,21600r21600,l21600,xe">
              <v:stroke joinstyle="miter"/>
              <v:path gradientshapeok="t" o:connecttype="rect"/>
            </v:shapetype>
            <v:shape id="Textfeld 31" o:spid="_x0000_s1027" type="#_x0000_t202" style="position:absolute;left:0;text-align:left;margin-left:487pt;margin-top:18.25pt;width:32.7pt;height:29.6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30ED2">
                      <w:rPr>
                        <w:rFonts w:ascii="Baskerville Old Face" w:hAnsi="Baskerville Old Face"/>
                        <w:noProof/>
                        <w:sz w:val="22"/>
                        <w:szCs w:val="22"/>
                      </w:rPr>
                      <w:t>1</w:t>
                    </w:r>
                    <w:r w:rsidRPr="003D5052">
                      <w:rPr>
                        <w:rFonts w:ascii="Baskerville Old Face" w:hAnsi="Baskerville Old Face"/>
                        <w:sz w:val="22"/>
                        <w:szCs w:val="22"/>
                      </w:rPr>
                      <w:fldChar w:fldCharType="end"/>
                    </w:r>
                  </w:p>
                </w:txbxContent>
              </v:textbox>
            </v:shape>
          </w:pict>
        </mc:Fallback>
      </mc:AlternateContent>
    </w:r>
  </w:p>
  <w:p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0464" behindDoc="0" locked="1" layoutInCell="1" allowOverlap="1" wp14:anchorId="425510D1" wp14:editId="64B4C2BF">
              <wp:simplePos x="0" y="0"/>
              <wp:positionH relativeFrom="margin">
                <wp:posOffset>-315595</wp:posOffset>
              </wp:positionH>
              <wp:positionV relativeFrom="page">
                <wp:posOffset>9941560</wp:posOffset>
              </wp:positionV>
              <wp:extent cx="6371590" cy="0"/>
              <wp:effectExtent l="0" t="0" r="29210" b="19050"/>
              <wp:wrapNone/>
              <wp:docPr id="15"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65DD3BD" id="Gerader Verbinder 2"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2.8pt" to="476.85pt,78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" strokecolor="windowText" strokeweight=".5pt">
              <v:stroke joinstyle="miter"/>
              <w10:wrap anchorx="margin" anchory="page"/>
              <w10:anchorlock/>
            </v:line>
          </w:pict>
        </mc:Fallback>
      </mc:AlternateContent>
    </w:r>
    <w:r w:rsidRPr="001F28B6">
      <w:rPr>
        <w:lang w:eastAsia="de-DE"/>
      </w:rPr>
      <w:drawing>
        <wp:anchor distT="0" distB="0" distL="114300" distR="114300" simplePos="0" relativeHeight="251709440" behindDoc="0" locked="1" layoutInCell="1" allowOverlap="1" wp14:anchorId="5B314B5E" wp14:editId="4E759B90">
          <wp:simplePos x="0" y="0"/>
          <wp:positionH relativeFrom="margin">
            <wp:posOffset>37465</wp:posOffset>
          </wp:positionH>
          <wp:positionV relativeFrom="bottomMargin">
            <wp:posOffset>195580</wp:posOffset>
          </wp:positionV>
          <wp:extent cx="852805" cy="298450"/>
          <wp:effectExtent l="0" t="0" r="4445" b="6350"/>
          <wp:wrapSquare wrapText="bothSides"/>
          <wp:docPr id="21"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1F28B6">
        <w:t>CC BY-SA 4.0-Lizenz</w:t>
      </w:r>
    </w:hyperlink>
    <w:r w:rsidRPr="001F28B6">
      <w:t xml:space="preserve">. Der Name des Urhebers soll bei einer Weiterverwendung wie folgt genannt werden: Henning Gutfleisch, </w:t>
    </w:r>
    <w:hyperlink r:id="rId3" w:history="1">
      <w:r w:rsidRPr="001F28B6">
        <w:t>Jüdisches Museum Frankfurt</w:t>
      </w:r>
    </w:hyperlink>
    <w:r w:rsidRPr="001F28B6">
      <w:t xml:space="preserve">. </w:t>
    </w:r>
  </w:p>
  <w:p w:rsidR="007B3A05" w:rsidRPr="009A0724" w:rsidRDefault="007B3A05" w:rsidP="009A0724">
    <w:pPr>
      <w:pStyle w:val="ABFusszeileJM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64F89" w:rsidRDefault="00E64F89" w:rsidP="007B3A05">
      <w:pPr>
        <w:spacing w:after="0" w:line="240" w:lineRule="auto"/>
      </w:pPr>
      <w:r>
        <w:separator/>
      </w:r>
    </w:p>
  </w:footnote>
  <w:footnote w:type="continuationSeparator" w:id="0">
    <w:p w:rsidR="00E64F89" w:rsidRDefault="00E64F89" w:rsidP="007B3A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4F89" w:rsidRPr="00175868" w:rsidRDefault="00E64F89" w:rsidP="00175868">
    <w:pPr>
      <w:pStyle w:val="VPKopfzeileJMF"/>
      <w:rPr>
        <w:sz w:val="22"/>
      </w:rPr>
    </w:pPr>
    <w:r w:rsidRPr="00E64F89">
      <w:t>Modul: Der Börneplatz – Gegenwart &amp; Geschichte</w:t>
    </w:r>
    <w:r w:rsidR="00175868">
      <w:tab/>
    </w:r>
    <w:r w:rsidR="00175868">
      <w:tab/>
    </w:r>
    <w:r w:rsidR="00175868">
      <w:tab/>
    </w:r>
    <w:r w:rsidR="00175868">
      <w:tab/>
    </w:r>
    <w:r w:rsidR="00175868">
      <w:tab/>
    </w:r>
    <w:r w:rsidR="00175868">
      <w:tab/>
    </w:r>
    <w:r w:rsidR="00175868">
      <w:tab/>
    </w:r>
    <w:r w:rsidR="00175868" w:rsidRPr="00175868">
      <w:rPr>
        <w:sz w:val="22"/>
      </w:rPr>
      <w:t>B3</w:t>
    </w:r>
  </w:p>
  <w:p w:rsidR="00BC1BB8" w:rsidRPr="00E64F89" w:rsidRDefault="006A113A" w:rsidP="00175868">
    <w:pPr>
      <w:pStyle w:val="VPKopfzeileJMF"/>
    </w:pPr>
    <w:r w:rsidRPr="006A113A">
      <w:t>Baustein 3: „Verschüttete Vergangenheit“ – der Börneplatz-Konflikt</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48F7" w:rsidRPr="00A75B51" w:rsidRDefault="00AA48F7" w:rsidP="00C71161">
    <w:pPr>
      <w:pStyle w:val="HeaderSeite1JMF"/>
      <w:spacing w:after="0" w:line="240" w:lineRule="auto"/>
      <w:rPr>
        <w:rFonts w:ascii="Libre Baskerville" w:hAnsi="Libre Baskerville"/>
        <w:b/>
        <w:bCs/>
        <w:sz w:val="18"/>
        <w:szCs w:val="22"/>
      </w:rPr>
    </w:pPr>
    <w:r w:rsidRPr="00A75B51">
      <w:rPr>
        <w:rFonts w:ascii="Libre Baskerville" w:hAnsi="Libre Baskerville"/>
        <w:b/>
        <w:bCs/>
        <w:sz w:val="18"/>
        <w:szCs w:val="22"/>
      </w:rPr>
      <w:t xml:space="preserve">Offenbacher jüdische Geschichte im 20. Jahrhundert </w:t>
    </w:r>
  </w:p>
  <w:p w:rsidR="007E49AC" w:rsidRPr="00D87712" w:rsidRDefault="00547CAA" w:rsidP="00D87712">
    <w:pPr>
      <w:pStyle w:val="HeaderSeite1JMF"/>
      <w:spacing w:after="0" w:line="360" w:lineRule="auto"/>
      <w:rPr>
        <w:rFonts w:ascii="Libre Baskerville" w:hAnsi="Libre Baskerville"/>
        <w:sz w:val="18"/>
        <w:szCs w:val="22"/>
      </w:rPr>
    </w:pPr>
    <w:r w:rsidRPr="00A75B51">
      <w:rPr>
        <w:rFonts w:ascii="Libre Baskerville" w:hAnsi="Libre Baskerville"/>
        <w:b/>
        <w:noProof/>
        <w:sz w:val="22"/>
        <w:szCs w:val="24"/>
        <w:lang w:eastAsia="de-DE"/>
      </w:rPr>
      <mc:AlternateContent>
        <mc:Choice Requires="wps">
          <w:drawing>
            <wp:anchor distT="0" distB="0" distL="114300" distR="114300" simplePos="0" relativeHeight="251677696" behindDoc="0" locked="0" layoutInCell="1" allowOverlap="1" wp14:anchorId="35B915CC" wp14:editId="6020BDAD">
              <wp:simplePos x="0" y="0"/>
              <wp:positionH relativeFrom="margin">
                <wp:posOffset>-432435</wp:posOffset>
              </wp:positionH>
              <wp:positionV relativeFrom="paragraph">
                <wp:posOffset>280598</wp:posOffset>
              </wp:positionV>
              <wp:extent cx="6624955" cy="0"/>
              <wp:effectExtent l="0" t="0" r="0" b="0"/>
              <wp:wrapNone/>
              <wp:docPr id="2111510727" name="Gerader Verbinder 2"/>
              <wp:cNvGraphicFramePr/>
              <a:graphic xmlns:a="http://schemas.openxmlformats.org/drawingml/2006/main">
                <a:graphicData uri="http://schemas.microsoft.com/office/word/2010/wordprocessingShape">
                  <wps:wsp>
                    <wps:cNvCnPr/>
                    <wps:spPr>
                      <a:xfrm>
                        <a:off x="0" y="0"/>
                        <a:ext cx="662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7CE4776" id="Gerader Verbinder 2" o:spid="_x0000_s1026" style="position:absolute;z-index:251677696;visibility:visible;mso-wrap-style:square;mso-wrap-distance-left:9pt;mso-wrap-distance-top:0;mso-wrap-distance-right:9pt;mso-wrap-distance-bottom:0;mso-position-horizontal:absolute;mso-position-horizontal-relative:margin;mso-position-vertical:absolute;mso-position-vertical-relative:text" from="-34.05pt,22.1pt" to="487.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" strokecolor="black [3213]" strokeweight=".5pt">
              <v:stroke joinstyle="miter"/>
              <w10:wrap anchorx="margin"/>
            </v:line>
          </w:pict>
        </mc:Fallback>
      </mc:AlternateContent>
    </w:r>
    <w:r w:rsidR="00AA48F7" w:rsidRPr="00A75B51">
      <w:rPr>
        <w:rFonts w:ascii="Libre Baskerville" w:hAnsi="Libre Baskerville"/>
        <w:sz w:val="18"/>
        <w:szCs w:val="22"/>
      </w:rPr>
      <w:t>Baustein 1: Deutsche Jüdinnen*Juden und der Erste Weltkrieg</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C0485"/>
    <w:multiLevelType w:val="hybridMultilevel"/>
    <w:tmpl w:val="8C66B164"/>
    <w:lvl w:ilvl="0" w:tplc="A622DD68">
      <w:start w:val="15"/>
      <w:numFmt w:val="bullet"/>
      <w:lvlText w:val="-"/>
      <w:lvlJc w:val="left"/>
      <w:pPr>
        <w:ind w:left="1068" w:hanging="360"/>
      </w:pPr>
      <w:rPr>
        <w:rFonts w:ascii="Times New Roman" w:eastAsiaTheme="minorHAnsi" w:hAnsi="Times New Roman" w:cs="Times New Roman"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 w15:restartNumberingAfterBreak="0">
    <w:nsid w:val="0A0A60B4"/>
    <w:multiLevelType w:val="hybridMultilevel"/>
    <w:tmpl w:val="6460241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54D6349"/>
    <w:multiLevelType w:val="hybridMultilevel"/>
    <w:tmpl w:val="B1BAB7B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7A53E02"/>
    <w:multiLevelType w:val="hybridMultilevel"/>
    <w:tmpl w:val="3CB0A9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9223896"/>
    <w:multiLevelType w:val="hybridMultilevel"/>
    <w:tmpl w:val="2F5EB4E4"/>
    <w:lvl w:ilvl="0" w:tplc="A622DD68">
      <w:start w:val="15"/>
      <w:numFmt w:val="bullet"/>
      <w:lvlText w:val="-"/>
      <w:lvlJc w:val="left"/>
      <w:pPr>
        <w:ind w:left="1088" w:hanging="360"/>
      </w:pPr>
      <w:rPr>
        <w:rFonts w:ascii="Times New Roman" w:eastAsiaTheme="minorHAnsi" w:hAnsi="Times New Roman" w:cs="Times New Roman" w:hint="default"/>
      </w:rPr>
    </w:lvl>
    <w:lvl w:ilvl="1" w:tplc="04070003" w:tentative="1">
      <w:start w:val="1"/>
      <w:numFmt w:val="bullet"/>
      <w:lvlText w:val="o"/>
      <w:lvlJc w:val="left"/>
      <w:pPr>
        <w:ind w:left="1808" w:hanging="360"/>
      </w:pPr>
      <w:rPr>
        <w:rFonts w:ascii="Courier New" w:hAnsi="Courier New" w:cs="Courier New" w:hint="default"/>
      </w:rPr>
    </w:lvl>
    <w:lvl w:ilvl="2" w:tplc="04070005" w:tentative="1">
      <w:start w:val="1"/>
      <w:numFmt w:val="bullet"/>
      <w:lvlText w:val=""/>
      <w:lvlJc w:val="left"/>
      <w:pPr>
        <w:ind w:left="2528" w:hanging="360"/>
      </w:pPr>
      <w:rPr>
        <w:rFonts w:ascii="Wingdings" w:hAnsi="Wingdings" w:hint="default"/>
      </w:rPr>
    </w:lvl>
    <w:lvl w:ilvl="3" w:tplc="04070001" w:tentative="1">
      <w:start w:val="1"/>
      <w:numFmt w:val="bullet"/>
      <w:lvlText w:val=""/>
      <w:lvlJc w:val="left"/>
      <w:pPr>
        <w:ind w:left="3248" w:hanging="360"/>
      </w:pPr>
      <w:rPr>
        <w:rFonts w:ascii="Symbol" w:hAnsi="Symbol" w:hint="default"/>
      </w:rPr>
    </w:lvl>
    <w:lvl w:ilvl="4" w:tplc="04070003" w:tentative="1">
      <w:start w:val="1"/>
      <w:numFmt w:val="bullet"/>
      <w:lvlText w:val="o"/>
      <w:lvlJc w:val="left"/>
      <w:pPr>
        <w:ind w:left="3968" w:hanging="360"/>
      </w:pPr>
      <w:rPr>
        <w:rFonts w:ascii="Courier New" w:hAnsi="Courier New" w:cs="Courier New" w:hint="default"/>
      </w:rPr>
    </w:lvl>
    <w:lvl w:ilvl="5" w:tplc="04070005" w:tentative="1">
      <w:start w:val="1"/>
      <w:numFmt w:val="bullet"/>
      <w:lvlText w:val=""/>
      <w:lvlJc w:val="left"/>
      <w:pPr>
        <w:ind w:left="4688" w:hanging="360"/>
      </w:pPr>
      <w:rPr>
        <w:rFonts w:ascii="Wingdings" w:hAnsi="Wingdings" w:hint="default"/>
      </w:rPr>
    </w:lvl>
    <w:lvl w:ilvl="6" w:tplc="04070001" w:tentative="1">
      <w:start w:val="1"/>
      <w:numFmt w:val="bullet"/>
      <w:lvlText w:val=""/>
      <w:lvlJc w:val="left"/>
      <w:pPr>
        <w:ind w:left="5408" w:hanging="360"/>
      </w:pPr>
      <w:rPr>
        <w:rFonts w:ascii="Symbol" w:hAnsi="Symbol" w:hint="default"/>
      </w:rPr>
    </w:lvl>
    <w:lvl w:ilvl="7" w:tplc="04070003" w:tentative="1">
      <w:start w:val="1"/>
      <w:numFmt w:val="bullet"/>
      <w:lvlText w:val="o"/>
      <w:lvlJc w:val="left"/>
      <w:pPr>
        <w:ind w:left="6128" w:hanging="360"/>
      </w:pPr>
      <w:rPr>
        <w:rFonts w:ascii="Courier New" w:hAnsi="Courier New" w:cs="Courier New" w:hint="default"/>
      </w:rPr>
    </w:lvl>
    <w:lvl w:ilvl="8" w:tplc="04070005" w:tentative="1">
      <w:start w:val="1"/>
      <w:numFmt w:val="bullet"/>
      <w:lvlText w:val=""/>
      <w:lvlJc w:val="left"/>
      <w:pPr>
        <w:ind w:left="6848" w:hanging="360"/>
      </w:pPr>
      <w:rPr>
        <w:rFonts w:ascii="Wingdings" w:hAnsi="Wingdings" w:hint="default"/>
      </w:rPr>
    </w:lvl>
  </w:abstractNum>
  <w:abstractNum w:abstractNumId="5" w15:restartNumberingAfterBreak="0">
    <w:nsid w:val="297939BA"/>
    <w:multiLevelType w:val="hybridMultilevel"/>
    <w:tmpl w:val="A0FEDA9A"/>
    <w:lvl w:ilvl="0" w:tplc="B2BA2DDA">
      <w:start w:val="2"/>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B2268EB"/>
    <w:multiLevelType w:val="hybridMultilevel"/>
    <w:tmpl w:val="BDD08BF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B2776F4"/>
    <w:multiLevelType w:val="hybridMultilevel"/>
    <w:tmpl w:val="85021E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B9E6889"/>
    <w:multiLevelType w:val="hybridMultilevel"/>
    <w:tmpl w:val="22B6065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EF75AA5"/>
    <w:multiLevelType w:val="hybridMultilevel"/>
    <w:tmpl w:val="4E209E58"/>
    <w:lvl w:ilvl="0" w:tplc="A622DD68">
      <w:start w:val="15"/>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956D37"/>
    <w:multiLevelType w:val="hybridMultilevel"/>
    <w:tmpl w:val="3522CD58"/>
    <w:lvl w:ilvl="0" w:tplc="2C262D7C">
      <w:start w:val="5"/>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74C6358"/>
    <w:multiLevelType w:val="hybridMultilevel"/>
    <w:tmpl w:val="192287B2"/>
    <w:lvl w:ilvl="0" w:tplc="E68E5A1A">
      <w:start w:val="1"/>
      <w:numFmt w:val="bullet"/>
      <w:pStyle w:val="VPListeJMF"/>
      <w:lvlText w:val=""/>
      <w:lvlJc w:val="left"/>
      <w:pPr>
        <w:ind w:left="720" w:hanging="360"/>
      </w:pPr>
      <w:rPr>
        <w:rFonts w:ascii="Symbol" w:hAnsi="Symbol"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4EC367CF"/>
    <w:multiLevelType w:val="hybridMultilevel"/>
    <w:tmpl w:val="BAEC91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FF359B3"/>
    <w:multiLevelType w:val="hybridMultilevel"/>
    <w:tmpl w:val="9928400C"/>
    <w:lvl w:ilvl="0" w:tplc="0407000F">
      <w:start w:val="3"/>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19C0466"/>
    <w:multiLevelType w:val="hybridMultilevel"/>
    <w:tmpl w:val="7B306792"/>
    <w:lvl w:ilvl="0" w:tplc="D520E6DE">
      <w:start w:val="1"/>
      <w:numFmt w:val="decimal"/>
      <w:pStyle w:val="VPAufzaehlungJMF"/>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51A4576B"/>
    <w:multiLevelType w:val="hybridMultilevel"/>
    <w:tmpl w:val="5C72E9B8"/>
    <w:lvl w:ilvl="0" w:tplc="E68E5A1A">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E49E1A40">
      <w:start w:val="1"/>
      <w:numFmt w:val="decimal"/>
      <w:lvlText w:val="%3."/>
      <w:lvlJc w:val="left"/>
      <w:pPr>
        <w:ind w:left="2340" w:hanging="360"/>
      </w:pPr>
      <w:rPr>
        <w:rFonts w:hint="default"/>
        <w:b w:val="0"/>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77B63AB"/>
    <w:multiLevelType w:val="hybridMultilevel"/>
    <w:tmpl w:val="CF9AC51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66046C7"/>
    <w:multiLevelType w:val="hybridMultilevel"/>
    <w:tmpl w:val="0D12D7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8565FBC"/>
    <w:multiLevelType w:val="hybridMultilevel"/>
    <w:tmpl w:val="5AEC9D3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7E0B4769"/>
    <w:multiLevelType w:val="hybridMultilevel"/>
    <w:tmpl w:val="54A83A24"/>
    <w:lvl w:ilvl="0" w:tplc="04580C00">
      <w:start w:val="1"/>
      <w:numFmt w:val="decimal"/>
      <w:lvlText w:val="%1."/>
      <w:lvlJc w:val="left"/>
      <w:pPr>
        <w:ind w:left="360" w:hanging="360"/>
      </w:pPr>
      <w:rPr>
        <w:rFonts w:hint="default"/>
        <w:b w:val="0"/>
        <w:bCs/>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2"/>
  </w:num>
  <w:num w:numId="2">
    <w:abstractNumId w:val="16"/>
  </w:num>
  <w:num w:numId="3">
    <w:abstractNumId w:val="6"/>
  </w:num>
  <w:num w:numId="4">
    <w:abstractNumId w:val="11"/>
  </w:num>
  <w:num w:numId="5">
    <w:abstractNumId w:val="7"/>
  </w:num>
  <w:num w:numId="6">
    <w:abstractNumId w:val="3"/>
  </w:num>
  <w:num w:numId="7">
    <w:abstractNumId w:val="1"/>
  </w:num>
  <w:num w:numId="8">
    <w:abstractNumId w:val="0"/>
  </w:num>
  <w:num w:numId="9">
    <w:abstractNumId w:val="19"/>
  </w:num>
  <w:num w:numId="10">
    <w:abstractNumId w:val="8"/>
  </w:num>
  <w:num w:numId="11">
    <w:abstractNumId w:val="4"/>
  </w:num>
  <w:num w:numId="12">
    <w:abstractNumId w:val="9"/>
  </w:num>
  <w:num w:numId="13">
    <w:abstractNumId w:val="10"/>
  </w:num>
  <w:num w:numId="14">
    <w:abstractNumId w:val="2"/>
  </w:num>
  <w:num w:numId="15">
    <w:abstractNumId w:val="14"/>
  </w:num>
  <w:num w:numId="16">
    <w:abstractNumId w:val="17"/>
  </w:num>
  <w:num w:numId="17">
    <w:abstractNumId w:val="15"/>
  </w:num>
  <w:num w:numId="18">
    <w:abstractNumId w:val="5"/>
  </w:num>
  <w:num w:numId="19">
    <w:abstractNumId w:val="18"/>
  </w:num>
  <w:num w:numId="2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TrueTypeFonts/>
  <w:proofState w:spelling="clean" w:grammar="clean"/>
  <w:attachedTemplate r:id="rId1"/>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4F89"/>
    <w:rsid w:val="000007F0"/>
    <w:rsid w:val="000042A6"/>
    <w:rsid w:val="00053B57"/>
    <w:rsid w:val="00065B48"/>
    <w:rsid w:val="00092D33"/>
    <w:rsid w:val="000A16E2"/>
    <w:rsid w:val="000E165B"/>
    <w:rsid w:val="000F51C1"/>
    <w:rsid w:val="000F5ADE"/>
    <w:rsid w:val="00144FE1"/>
    <w:rsid w:val="00153E98"/>
    <w:rsid w:val="00175868"/>
    <w:rsid w:val="00177AE3"/>
    <w:rsid w:val="001A21E2"/>
    <w:rsid w:val="001E298C"/>
    <w:rsid w:val="001E44E5"/>
    <w:rsid w:val="001F3FB8"/>
    <w:rsid w:val="001F43D3"/>
    <w:rsid w:val="00227F65"/>
    <w:rsid w:val="002363A2"/>
    <w:rsid w:val="00243BD2"/>
    <w:rsid w:val="00254043"/>
    <w:rsid w:val="00282659"/>
    <w:rsid w:val="00314002"/>
    <w:rsid w:val="00324A5B"/>
    <w:rsid w:val="00335954"/>
    <w:rsid w:val="00345B2C"/>
    <w:rsid w:val="00352ABA"/>
    <w:rsid w:val="0039185E"/>
    <w:rsid w:val="003A2681"/>
    <w:rsid w:val="003C0A3E"/>
    <w:rsid w:val="003D1BB0"/>
    <w:rsid w:val="00416C49"/>
    <w:rsid w:val="00456AC5"/>
    <w:rsid w:val="004A7081"/>
    <w:rsid w:val="004B023F"/>
    <w:rsid w:val="004B5554"/>
    <w:rsid w:val="004C5372"/>
    <w:rsid w:val="004E2DE7"/>
    <w:rsid w:val="004E75A5"/>
    <w:rsid w:val="00510C96"/>
    <w:rsid w:val="00511B25"/>
    <w:rsid w:val="005136D6"/>
    <w:rsid w:val="00514421"/>
    <w:rsid w:val="00523766"/>
    <w:rsid w:val="0052497E"/>
    <w:rsid w:val="00545603"/>
    <w:rsid w:val="00547CAA"/>
    <w:rsid w:val="0057114D"/>
    <w:rsid w:val="0057744A"/>
    <w:rsid w:val="005926B5"/>
    <w:rsid w:val="005B17F0"/>
    <w:rsid w:val="005C5587"/>
    <w:rsid w:val="005F03AF"/>
    <w:rsid w:val="005F2667"/>
    <w:rsid w:val="005F6BAE"/>
    <w:rsid w:val="006231C4"/>
    <w:rsid w:val="00625F13"/>
    <w:rsid w:val="00630BD0"/>
    <w:rsid w:val="006628E0"/>
    <w:rsid w:val="006703FF"/>
    <w:rsid w:val="00685B4D"/>
    <w:rsid w:val="00695AF8"/>
    <w:rsid w:val="006A113A"/>
    <w:rsid w:val="006C4EBA"/>
    <w:rsid w:val="006C5347"/>
    <w:rsid w:val="006F18CA"/>
    <w:rsid w:val="007040C3"/>
    <w:rsid w:val="00705ADD"/>
    <w:rsid w:val="00714431"/>
    <w:rsid w:val="00715E04"/>
    <w:rsid w:val="0073211B"/>
    <w:rsid w:val="007A1D1C"/>
    <w:rsid w:val="007B3A05"/>
    <w:rsid w:val="007B5006"/>
    <w:rsid w:val="007E49AC"/>
    <w:rsid w:val="007F125F"/>
    <w:rsid w:val="0083726F"/>
    <w:rsid w:val="008500C5"/>
    <w:rsid w:val="00865E40"/>
    <w:rsid w:val="0087029E"/>
    <w:rsid w:val="00871D94"/>
    <w:rsid w:val="0089208F"/>
    <w:rsid w:val="008A0F7F"/>
    <w:rsid w:val="008A1DA7"/>
    <w:rsid w:val="008A6571"/>
    <w:rsid w:val="008C4C31"/>
    <w:rsid w:val="008D0CAE"/>
    <w:rsid w:val="008E6AF0"/>
    <w:rsid w:val="008F337E"/>
    <w:rsid w:val="009116D9"/>
    <w:rsid w:val="0094690F"/>
    <w:rsid w:val="00983A7B"/>
    <w:rsid w:val="00987058"/>
    <w:rsid w:val="009A0724"/>
    <w:rsid w:val="009A49BD"/>
    <w:rsid w:val="009A7E82"/>
    <w:rsid w:val="00A225B8"/>
    <w:rsid w:val="00A51085"/>
    <w:rsid w:val="00A65A2C"/>
    <w:rsid w:val="00A70CA2"/>
    <w:rsid w:val="00A75B51"/>
    <w:rsid w:val="00AA48F7"/>
    <w:rsid w:val="00AA79CC"/>
    <w:rsid w:val="00B21441"/>
    <w:rsid w:val="00B25CF4"/>
    <w:rsid w:val="00B43E9B"/>
    <w:rsid w:val="00B46C26"/>
    <w:rsid w:val="00B82AA7"/>
    <w:rsid w:val="00BA493F"/>
    <w:rsid w:val="00BA6272"/>
    <w:rsid w:val="00BC0762"/>
    <w:rsid w:val="00BC1BB8"/>
    <w:rsid w:val="00BD2C0E"/>
    <w:rsid w:val="00BF4E87"/>
    <w:rsid w:val="00C02867"/>
    <w:rsid w:val="00C07DC4"/>
    <w:rsid w:val="00C12155"/>
    <w:rsid w:val="00C20B1B"/>
    <w:rsid w:val="00C432B0"/>
    <w:rsid w:val="00C43F03"/>
    <w:rsid w:val="00C54620"/>
    <w:rsid w:val="00C61686"/>
    <w:rsid w:val="00C62DA8"/>
    <w:rsid w:val="00C71161"/>
    <w:rsid w:val="00C76B61"/>
    <w:rsid w:val="00C81624"/>
    <w:rsid w:val="00C9595A"/>
    <w:rsid w:val="00CA0285"/>
    <w:rsid w:val="00CA6736"/>
    <w:rsid w:val="00CE463C"/>
    <w:rsid w:val="00D0603D"/>
    <w:rsid w:val="00D15C4B"/>
    <w:rsid w:val="00D357EB"/>
    <w:rsid w:val="00D3666A"/>
    <w:rsid w:val="00D453C4"/>
    <w:rsid w:val="00D455BB"/>
    <w:rsid w:val="00D517B2"/>
    <w:rsid w:val="00D55D8C"/>
    <w:rsid w:val="00D87712"/>
    <w:rsid w:val="00D9088E"/>
    <w:rsid w:val="00D91054"/>
    <w:rsid w:val="00DA0A09"/>
    <w:rsid w:val="00DA1E1C"/>
    <w:rsid w:val="00DA5B7B"/>
    <w:rsid w:val="00DD3228"/>
    <w:rsid w:val="00DD58A3"/>
    <w:rsid w:val="00DF73E0"/>
    <w:rsid w:val="00E147FE"/>
    <w:rsid w:val="00E50545"/>
    <w:rsid w:val="00E516D1"/>
    <w:rsid w:val="00E64F89"/>
    <w:rsid w:val="00E67505"/>
    <w:rsid w:val="00E70323"/>
    <w:rsid w:val="00E9431F"/>
    <w:rsid w:val="00EA104C"/>
    <w:rsid w:val="00EF3B8C"/>
    <w:rsid w:val="00EF74A1"/>
    <w:rsid w:val="00F00712"/>
    <w:rsid w:val="00F30ED2"/>
    <w:rsid w:val="00F54BDB"/>
    <w:rsid w:val="00F67D8B"/>
    <w:rsid w:val="00FA0E00"/>
    <w:rsid w:val="00FA2490"/>
    <w:rsid w:val="00FB0B2B"/>
    <w:rsid w:val="00FC079E"/>
    <w:rsid w:val="00FC3368"/>
    <w:rsid w:val="00FC6FE3"/>
    <w:rsid w:val="00FE138C"/>
    <w:rsid w:val="00FE2B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911F7BF"/>
  <w15:chartTrackingRefBased/>
  <w15:docId w15:val="{2AB86900-9E49-48C3-83D6-1308DF7F94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9595A"/>
  </w:style>
  <w:style w:type="paragraph" w:styleId="berschrift1">
    <w:name w:val="heading 1"/>
    <w:basedOn w:val="Standard"/>
    <w:next w:val="Standard"/>
    <w:link w:val="berschrift1Zchn"/>
    <w:uiPriority w:val="9"/>
    <w:qFormat/>
    <w:rsid w:val="007B3A0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B3A0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B3A0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B3A0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B3A0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B3A05"/>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B3A05"/>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B3A05"/>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B3A05"/>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3A0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B3A0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B3A0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B3A0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B3A0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B3A0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B3A0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B3A0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B3A05"/>
    <w:rPr>
      <w:rFonts w:eastAsiaTheme="majorEastAsia" w:cstheme="majorBidi"/>
      <w:color w:val="272727" w:themeColor="text1" w:themeTint="D8"/>
    </w:rPr>
  </w:style>
  <w:style w:type="paragraph" w:styleId="Titel">
    <w:name w:val="Title"/>
    <w:basedOn w:val="Standard"/>
    <w:next w:val="Standard"/>
    <w:link w:val="TitelZchn"/>
    <w:uiPriority w:val="10"/>
    <w:qFormat/>
    <w:rsid w:val="007B3A0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B3A0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B3A0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B3A0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B3A0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B3A05"/>
    <w:rPr>
      <w:i/>
      <w:iCs/>
      <w:color w:val="404040" w:themeColor="text1" w:themeTint="BF"/>
    </w:rPr>
  </w:style>
  <w:style w:type="paragraph" w:styleId="Listenabsatz">
    <w:name w:val="List Paragraph"/>
    <w:basedOn w:val="Standard"/>
    <w:uiPriority w:val="34"/>
    <w:qFormat/>
    <w:rsid w:val="007B3A05"/>
    <w:pPr>
      <w:ind w:left="720"/>
      <w:contextualSpacing/>
    </w:pPr>
  </w:style>
  <w:style w:type="character" w:styleId="IntensiveHervorhebung">
    <w:name w:val="Intense Emphasis"/>
    <w:basedOn w:val="Absatz-Standardschriftart"/>
    <w:uiPriority w:val="21"/>
    <w:qFormat/>
    <w:rsid w:val="007B3A05"/>
    <w:rPr>
      <w:i/>
      <w:iCs/>
      <w:color w:val="0F4761" w:themeColor="accent1" w:themeShade="BF"/>
    </w:rPr>
  </w:style>
  <w:style w:type="paragraph" w:styleId="IntensivesZitat">
    <w:name w:val="Intense Quote"/>
    <w:basedOn w:val="Standard"/>
    <w:next w:val="Standard"/>
    <w:link w:val="IntensivesZitatZchn"/>
    <w:uiPriority w:val="30"/>
    <w:qFormat/>
    <w:rsid w:val="007B3A0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B3A05"/>
    <w:rPr>
      <w:i/>
      <w:iCs/>
      <w:color w:val="0F4761" w:themeColor="accent1" w:themeShade="BF"/>
    </w:rPr>
  </w:style>
  <w:style w:type="character" w:styleId="IntensiverVerweis">
    <w:name w:val="Intense Reference"/>
    <w:basedOn w:val="Absatz-Standardschriftart"/>
    <w:uiPriority w:val="32"/>
    <w:qFormat/>
    <w:rsid w:val="007B3A05"/>
    <w:rPr>
      <w:b/>
      <w:bCs/>
      <w:smallCaps/>
      <w:color w:val="0F4761" w:themeColor="accent1" w:themeShade="BF"/>
      <w:spacing w:val="5"/>
    </w:rPr>
  </w:style>
  <w:style w:type="paragraph" w:styleId="Kopfzeile">
    <w:name w:val="header"/>
    <w:basedOn w:val="Standard"/>
    <w:link w:val="KopfzeileZchn"/>
    <w:uiPriority w:val="99"/>
    <w:unhideWhenUsed/>
    <w:rsid w:val="007B3A0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B3A05"/>
  </w:style>
  <w:style w:type="paragraph" w:styleId="Fuzeile">
    <w:name w:val="footer"/>
    <w:basedOn w:val="Standard"/>
    <w:link w:val="FuzeileZchn"/>
    <w:uiPriority w:val="99"/>
    <w:unhideWhenUsed/>
    <w:rsid w:val="007B3A0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B3A05"/>
  </w:style>
  <w:style w:type="character" w:styleId="Hyperlink">
    <w:name w:val="Hyperlink"/>
    <w:basedOn w:val="Absatz-Standardschriftart"/>
    <w:uiPriority w:val="99"/>
    <w:unhideWhenUsed/>
    <w:rsid w:val="007B3A05"/>
    <w:rPr>
      <w:color w:val="467886" w:themeColor="hyperlink"/>
      <w:u w:val="single"/>
    </w:rPr>
  </w:style>
  <w:style w:type="character" w:styleId="BesuchterLink">
    <w:name w:val="FollowedHyperlink"/>
    <w:basedOn w:val="Absatz-Standardschriftart"/>
    <w:uiPriority w:val="99"/>
    <w:semiHidden/>
    <w:unhideWhenUsed/>
    <w:rsid w:val="007B3A05"/>
    <w:rPr>
      <w:color w:val="96607D" w:themeColor="followedHyperlink"/>
      <w:u w:val="single"/>
    </w:rPr>
  </w:style>
  <w:style w:type="character" w:customStyle="1" w:styleId="NichtaufgelsteErwhnung1">
    <w:name w:val="Nicht aufgelöste Erwähnung1"/>
    <w:basedOn w:val="Absatz-Standardschriftart"/>
    <w:uiPriority w:val="99"/>
    <w:semiHidden/>
    <w:unhideWhenUsed/>
    <w:rsid w:val="00324A5B"/>
    <w:rPr>
      <w:color w:val="605E5C"/>
      <w:shd w:val="clear" w:color="auto" w:fill="E1DFDD"/>
    </w:rPr>
  </w:style>
  <w:style w:type="table" w:styleId="Tabellenraster">
    <w:name w:val="Table Grid"/>
    <w:basedOn w:val="NormaleTabelle"/>
    <w:uiPriority w:val="39"/>
    <w:rsid w:val="00AA48F7"/>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BF4E87"/>
    <w:rPr>
      <w:sz w:val="16"/>
      <w:szCs w:val="16"/>
    </w:rPr>
  </w:style>
  <w:style w:type="paragraph" w:styleId="Kommentartext">
    <w:name w:val="annotation text"/>
    <w:basedOn w:val="Standard"/>
    <w:link w:val="KommentartextZchn"/>
    <w:uiPriority w:val="99"/>
    <w:semiHidden/>
    <w:unhideWhenUsed/>
    <w:rsid w:val="00BF4E87"/>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F4E87"/>
    <w:rPr>
      <w:sz w:val="20"/>
      <w:szCs w:val="20"/>
    </w:rPr>
  </w:style>
  <w:style w:type="paragraph" w:styleId="Kommentarthema">
    <w:name w:val="annotation subject"/>
    <w:basedOn w:val="Kommentartext"/>
    <w:next w:val="Kommentartext"/>
    <w:link w:val="KommentarthemaZchn"/>
    <w:uiPriority w:val="99"/>
    <w:semiHidden/>
    <w:unhideWhenUsed/>
    <w:rsid w:val="00BF4E87"/>
    <w:rPr>
      <w:b/>
      <w:bCs/>
    </w:rPr>
  </w:style>
  <w:style w:type="character" w:customStyle="1" w:styleId="KommentarthemaZchn">
    <w:name w:val="Kommentarthema Zchn"/>
    <w:basedOn w:val="KommentartextZchn"/>
    <w:link w:val="Kommentarthema"/>
    <w:uiPriority w:val="99"/>
    <w:semiHidden/>
    <w:rsid w:val="00BF4E87"/>
    <w:rPr>
      <w:b/>
      <w:bCs/>
      <w:sz w:val="20"/>
      <w:szCs w:val="20"/>
    </w:rPr>
  </w:style>
  <w:style w:type="paragraph" w:styleId="Sprechblasentext">
    <w:name w:val="Balloon Text"/>
    <w:basedOn w:val="Standard"/>
    <w:link w:val="SprechblasentextZchn"/>
    <w:uiPriority w:val="99"/>
    <w:semiHidden/>
    <w:unhideWhenUsed/>
    <w:rsid w:val="00BF4E87"/>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F4E87"/>
    <w:rPr>
      <w:rFonts w:ascii="Segoe UI" w:hAnsi="Segoe UI" w:cs="Segoe UI"/>
      <w:sz w:val="18"/>
      <w:szCs w:val="18"/>
    </w:rPr>
  </w:style>
  <w:style w:type="paragraph" w:styleId="berarbeitung">
    <w:name w:val="Revision"/>
    <w:hidden/>
    <w:uiPriority w:val="99"/>
    <w:semiHidden/>
    <w:rsid w:val="00C9595A"/>
    <w:pPr>
      <w:spacing w:after="0" w:line="240" w:lineRule="auto"/>
    </w:pPr>
  </w:style>
  <w:style w:type="paragraph" w:customStyle="1" w:styleId="HeaderSeite1JMF">
    <w:name w:val="Header Seite 1 JMF"/>
    <w:basedOn w:val="Standard"/>
    <w:link w:val="HeaderSeite1JMFZchn"/>
    <w:qFormat/>
    <w:rsid w:val="00C9595A"/>
    <w:pPr>
      <w:jc w:val="both"/>
    </w:pPr>
    <w:rPr>
      <w:rFonts w:ascii="Aptos Display" w:hAnsi="Aptos Display"/>
      <w:sz w:val="32"/>
      <w:szCs w:val="32"/>
    </w:rPr>
  </w:style>
  <w:style w:type="character" w:customStyle="1" w:styleId="HeaderSeite1JMFZchn">
    <w:name w:val="Header Seite 1 JMF Zchn"/>
    <w:basedOn w:val="Absatz-Standardschriftart"/>
    <w:link w:val="HeaderSeite1JMF"/>
    <w:rsid w:val="00C9595A"/>
    <w:rPr>
      <w:rFonts w:ascii="Aptos Display" w:hAnsi="Aptos Display"/>
      <w:sz w:val="32"/>
      <w:szCs w:val="32"/>
    </w:rPr>
  </w:style>
  <w:style w:type="paragraph" w:customStyle="1" w:styleId="SeitenzahlJMF">
    <w:name w:val="Seitenzahl JMF"/>
    <w:basedOn w:val="Fuzeile"/>
    <w:link w:val="SeitenzahlJMFZchn"/>
    <w:qFormat/>
    <w:rsid w:val="00D0603D"/>
    <w:pPr>
      <w:tabs>
        <w:tab w:val="left" w:pos="7010"/>
      </w:tabs>
    </w:pPr>
  </w:style>
  <w:style w:type="character" w:customStyle="1" w:styleId="SeitenzahlJMFZchn">
    <w:name w:val="Seitenzahl JMF Zchn"/>
    <w:basedOn w:val="FuzeileZchn"/>
    <w:link w:val="SeitenzahlJMF"/>
    <w:rsid w:val="00D0603D"/>
  </w:style>
  <w:style w:type="paragraph" w:customStyle="1" w:styleId="Formatvorlage1">
    <w:name w:val="Formatvorlage1"/>
    <w:basedOn w:val="Fuzeile"/>
    <w:qFormat/>
    <w:rsid w:val="00A65A2C"/>
    <w:pPr>
      <w:tabs>
        <w:tab w:val="left" w:pos="7010"/>
      </w:tabs>
    </w:pPr>
    <w:rPr>
      <w:noProof/>
      <w:lang w:eastAsia="de-DE"/>
    </w:rPr>
  </w:style>
  <w:style w:type="paragraph" w:customStyle="1" w:styleId="FuzeilemitSrechtsJMF">
    <w:name w:val="Fußzeile mit S rechts JMF"/>
    <w:basedOn w:val="Formatvorlage1"/>
    <w:autoRedefine/>
    <w:qFormat/>
    <w:rsid w:val="00E9431F"/>
    <w:pPr>
      <w:ind w:left="1701"/>
    </w:pPr>
  </w:style>
  <w:style w:type="paragraph" w:customStyle="1" w:styleId="VPFlietextJMF">
    <w:name w:val="VP Fließtext JMF"/>
    <w:basedOn w:val="Standard"/>
    <w:qFormat/>
    <w:rsid w:val="00D55D8C"/>
    <w:pPr>
      <w:spacing w:after="120" w:line="240" w:lineRule="auto"/>
      <w:jc w:val="both"/>
    </w:pPr>
    <w:rPr>
      <w:rFonts w:ascii="Libre Baskerville" w:hAnsi="Libre Baskerville"/>
      <w:sz w:val="18"/>
      <w:szCs w:val="22"/>
      <w:lang w:bidi="he-IL"/>
    </w:rPr>
  </w:style>
  <w:style w:type="paragraph" w:customStyle="1" w:styleId="VPKopfzeileJMF">
    <w:name w:val="VP Kopfzeile JMF"/>
    <w:basedOn w:val="VPFlietextJMF"/>
    <w:qFormat/>
    <w:rsid w:val="00175868"/>
    <w:pPr>
      <w:spacing w:after="0"/>
    </w:pPr>
    <w:rPr>
      <w:b/>
      <w:sz w:val="14"/>
    </w:rPr>
  </w:style>
  <w:style w:type="paragraph" w:customStyle="1" w:styleId="VPUeberschrift2JMF">
    <w:name w:val="VP Ueberschrift2 JMF"/>
    <w:basedOn w:val="VPFlietextJMF"/>
    <w:qFormat/>
    <w:rsid w:val="00E67505"/>
    <w:pPr>
      <w:spacing w:before="400" w:after="240"/>
    </w:pPr>
    <w:rPr>
      <w:b/>
    </w:rPr>
  </w:style>
  <w:style w:type="paragraph" w:customStyle="1" w:styleId="VPFusszeileJMF">
    <w:name w:val="VP Fusszeile JMF"/>
    <w:basedOn w:val="VPFlietextJMF"/>
    <w:qFormat/>
    <w:rsid w:val="009A0724"/>
    <w:pPr>
      <w:spacing w:before="240" w:after="0"/>
    </w:pPr>
    <w:rPr>
      <w:sz w:val="10"/>
    </w:rPr>
  </w:style>
  <w:style w:type="paragraph" w:customStyle="1" w:styleId="VPUeberschrift1JMF">
    <w:name w:val="VP Ueberschrift1 JMF"/>
    <w:basedOn w:val="VPFlietextJMF"/>
    <w:qFormat/>
    <w:rsid w:val="00D55D8C"/>
    <w:rPr>
      <w:b/>
      <w:sz w:val="22"/>
    </w:rPr>
  </w:style>
  <w:style w:type="paragraph" w:customStyle="1" w:styleId="VPListeJMF">
    <w:name w:val="VP Liste JMF"/>
    <w:basedOn w:val="VPFlietextJMF"/>
    <w:qFormat/>
    <w:rsid w:val="0087029E"/>
    <w:pPr>
      <w:numPr>
        <w:numId w:val="4"/>
      </w:numPr>
      <w:spacing w:after="0" w:line="276" w:lineRule="auto"/>
      <w:jc w:val="left"/>
    </w:pPr>
    <w:rPr>
      <w:iCs/>
    </w:rPr>
  </w:style>
  <w:style w:type="paragraph" w:customStyle="1" w:styleId="Formatvorlage2">
    <w:name w:val="Formatvorlage2"/>
    <w:basedOn w:val="VPFlietextJMF"/>
    <w:qFormat/>
    <w:rsid w:val="00416C49"/>
    <w:pPr>
      <w:spacing w:after="0"/>
    </w:pPr>
    <w:rPr>
      <w:kern w:val="0"/>
      <w:lang w:val="en-GB"/>
      <w14:ligatures w14:val="none"/>
    </w:rPr>
  </w:style>
  <w:style w:type="paragraph" w:customStyle="1" w:styleId="VPTabelleInhaltJMF">
    <w:name w:val="VP Tabelle Inhalt JMF"/>
    <w:basedOn w:val="VPFlietextJMF"/>
    <w:qFormat/>
    <w:rsid w:val="00C07DC4"/>
    <w:pPr>
      <w:widowControl w:val="0"/>
      <w:spacing w:after="0"/>
      <w:jc w:val="left"/>
    </w:pPr>
    <w:rPr>
      <w:kern w:val="0"/>
      <w14:ligatures w14:val="none"/>
    </w:rPr>
  </w:style>
  <w:style w:type="paragraph" w:customStyle="1" w:styleId="ABFusszeileJMF">
    <w:name w:val="AB Fusszeile JMF"/>
    <w:basedOn w:val="Standard"/>
    <w:qFormat/>
    <w:rsid w:val="009A0724"/>
    <w:pPr>
      <w:spacing w:after="240" w:line="240" w:lineRule="auto"/>
      <w:jc w:val="both"/>
    </w:pPr>
    <w:rPr>
      <w:rFonts w:ascii="Libre Baskerville" w:hAnsi="Libre Baskerville" w:cs="Times New Roman"/>
      <w:noProof/>
      <w:sz w:val="10"/>
      <w:szCs w:val="22"/>
    </w:rPr>
  </w:style>
  <w:style w:type="paragraph" w:customStyle="1" w:styleId="VPAufzaehlungJMF">
    <w:name w:val="VP Aufzaehlung JMF"/>
    <w:basedOn w:val="VPFlietextJMF"/>
    <w:qFormat/>
    <w:rsid w:val="006F18CA"/>
    <w:pPr>
      <w:numPr>
        <w:numId w:val="1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frankfurt1933-1945.de/beitraege/einzelne-orte-des-gedenkens/beitrag/der-konflikt-um-den-boerneplatz" TargetMode="Externa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Verlaufsplan%20und%20Erwartungshorizont%20Vorlage_final%20.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7E41EDD3E864E449D39C78B379F6C87" ma:contentTypeVersion="5" ma:contentTypeDescription="Create a new document." ma:contentTypeScope="" ma:versionID="ea6915769fdcfc5341ea849943bcf64b">
  <xsd:schema xmlns:xsd="http://www.w3.org/2001/XMLSchema" xmlns:xs="http://www.w3.org/2001/XMLSchema" xmlns:p="http://schemas.microsoft.com/office/2006/metadata/properties" xmlns:ns3="28ca407f-0d36-448a-a296-295af1c691d6" targetNamespace="http://schemas.microsoft.com/office/2006/metadata/properties" ma:root="true" ma:fieldsID="9232fc0acc1f461357390583f44af0c7" ns3:_="">
    <xsd:import namespace="28ca407f-0d36-448a-a296-295af1c691d6"/>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ca407f-0d36-448a-a296-295af1c691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70D13E-6E96-4806-8AD4-4B9E7A908717}">
  <ds:schemaRefs>
    <ds:schemaRef ds:uri="http://schemas.microsoft.com/sharepoint/v3/contenttype/forms"/>
  </ds:schemaRefs>
</ds:datastoreItem>
</file>

<file path=customXml/itemProps2.xml><?xml version="1.0" encoding="utf-8"?>
<ds:datastoreItem xmlns:ds="http://schemas.openxmlformats.org/officeDocument/2006/customXml" ds:itemID="{C6D7D934-D334-4C2D-9F46-DF8B7DA9DE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ca407f-0d36-448a-a296-295af1c691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1BC1153-18AE-4A96-8BCE-529E0F83FEB8}">
  <ds:schemaRef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28ca407f-0d36-448a-a296-295af1c691d6"/>
    <ds:schemaRef ds:uri="http://purl.org/dc/terms/"/>
    <ds:schemaRef ds:uri="http://www.w3.org/XML/1998/namespace"/>
    <ds:schemaRef ds:uri="http://purl.org/dc/dcmitype/"/>
  </ds:schemaRefs>
</ds:datastoreItem>
</file>

<file path=customXml/itemProps4.xml><?xml version="1.0" encoding="utf-8"?>
<ds:datastoreItem xmlns:ds="http://schemas.openxmlformats.org/officeDocument/2006/customXml" ds:itemID="{B9F0D351-F39F-42F2-B077-E77BE2A5E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Verlaufsplan und Erwartungshorizont Vorlage_final .dotx</Template>
  <TotalTime>0</TotalTime>
  <Pages>3</Pages>
  <Words>1022</Words>
  <Characters>6444</Characters>
  <Application>Microsoft Office Word</Application>
  <DocSecurity>0</DocSecurity>
  <Lines>53</Lines>
  <Paragraphs>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Schmidt, Sophie</dc:creator>
  <cp:keywords/>
  <dc:description/>
  <cp:lastModifiedBy>Schmidt, Sophie</cp:lastModifiedBy>
  <cp:revision>6</cp:revision>
  <cp:lastPrinted>2025-02-25T10:55:00Z</cp:lastPrinted>
  <dcterms:created xsi:type="dcterms:W3CDTF">2025-03-11T03:43:00Z</dcterms:created>
  <dcterms:modified xsi:type="dcterms:W3CDTF">2025-03-12T12:54:00Z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0x01010097E41EDD3E864E449D39C78B379F6C87</vt:lpwstr>
  </property>
</Properties>
</file>